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3AF" w:rsidRPr="00F64ABA" w:rsidRDefault="007713AF" w:rsidP="007713AF">
      <w:pPr>
        <w:pStyle w:val="MDPI11articletype"/>
      </w:pPr>
      <w:bookmarkStart w:id="0" w:name="_GoBack"/>
      <w:bookmarkEnd w:id="0"/>
      <w:r w:rsidRPr="00F64ABA">
        <w:t>Article</w:t>
      </w:r>
    </w:p>
    <w:p w:rsidR="007713AF" w:rsidRPr="00F64ABA" w:rsidRDefault="00F30A21" w:rsidP="007713AF">
      <w:pPr>
        <w:pStyle w:val="MDPI12title"/>
      </w:pPr>
      <w:r w:rsidRPr="00F30A21">
        <w:t>Prebiotic Gum Arabic Modulates Antibiotic Efficacy in Atopic Dermatitis-Associated Bacteria: In Vitro Evaluation and Development of Semisolid Topical Carriers</w:t>
      </w:r>
    </w:p>
    <w:p w:rsidR="00583892" w:rsidRPr="00F64ABA" w:rsidRDefault="00A305FC" w:rsidP="007713AF">
      <w:pPr>
        <w:pStyle w:val="MDPI13authornames"/>
      </w:pPr>
      <w:r>
        <w:t xml:space="preserve">Derya Doğanay, Esra Mertoğlu, Ahmet Arif Kurt, Batuhan Cenk Özkan, Ertuğrul Osman Bursalıoğlu, Mustafa Eray Bozyel, Reyhan Aliusta, Özlem Türkoğlu, Halise Betül Gökçe, Emine Kızılay, </w:t>
      </w:r>
      <w:r w:rsidR="00F12896">
        <w:t xml:space="preserve">Fatih Hacımustafaoğlu, </w:t>
      </w:r>
      <w:r>
        <w:t>Şaban Kalay, Rana Hamdemir, Ismail Bayır, and Ismail Aslan</w:t>
      </w:r>
      <w:r w:rsidR="007713AF" w:rsidRPr="00086F4D">
        <w:t>*</w:t>
      </w:r>
    </w:p>
    <w:tbl>
      <w:tblPr>
        <w:tblpPr w:leftFromText="198" w:rightFromText="198" w:vertAnchor="page" w:horzAnchor="margin" w:tblpY="12541"/>
        <w:tblW w:w="2410" w:type="dxa"/>
        <w:tblLayout w:type="fixed"/>
        <w:tblCellMar>
          <w:left w:w="0" w:type="dxa"/>
          <w:right w:w="0" w:type="dxa"/>
        </w:tblCellMar>
        <w:tblLook w:val="04A0" w:firstRow="1" w:lastRow="0" w:firstColumn="1" w:lastColumn="0" w:noHBand="0" w:noVBand="1"/>
      </w:tblPr>
      <w:tblGrid>
        <w:gridCol w:w="2410"/>
      </w:tblGrid>
      <w:tr w:rsidR="00583892" w:rsidRPr="00F64ABA" w:rsidTr="00D752D6">
        <w:tc>
          <w:tcPr>
            <w:tcW w:w="2410" w:type="dxa"/>
          </w:tcPr>
          <w:p w:rsidR="00583892" w:rsidRPr="00F64ABA" w:rsidRDefault="00583892" w:rsidP="00D752D6">
            <w:pPr>
              <w:pStyle w:val="MDPI15academiceditor"/>
              <w:spacing w:before="0" w:after="120"/>
            </w:pPr>
            <w:r w:rsidRPr="00F64ABA">
              <w:t>Academic Editor: Firstname Lastname</w:t>
            </w:r>
          </w:p>
          <w:p w:rsidR="00583892" w:rsidRPr="00F64ABA" w:rsidRDefault="00583892" w:rsidP="00D752D6">
            <w:pPr>
              <w:pStyle w:val="MDPI14history"/>
              <w:spacing w:before="120"/>
            </w:pPr>
            <w:r w:rsidRPr="00F64ABA">
              <w:t>Received: date</w:t>
            </w:r>
          </w:p>
          <w:p w:rsidR="00583892" w:rsidRPr="00F64ABA" w:rsidRDefault="00583892" w:rsidP="00D752D6">
            <w:pPr>
              <w:pStyle w:val="MDPI14history"/>
            </w:pPr>
            <w:r w:rsidRPr="00F64ABA">
              <w:t>Revised: date</w:t>
            </w:r>
          </w:p>
          <w:p w:rsidR="00583892" w:rsidRPr="00F64ABA" w:rsidRDefault="00583892" w:rsidP="00D752D6">
            <w:pPr>
              <w:pStyle w:val="MDPI14history"/>
            </w:pPr>
            <w:r w:rsidRPr="00F64ABA">
              <w:t>Accepted: date</w:t>
            </w:r>
          </w:p>
          <w:p w:rsidR="00583892" w:rsidRPr="00F64ABA" w:rsidRDefault="00583892" w:rsidP="00D752D6">
            <w:pPr>
              <w:pStyle w:val="MDPI14history"/>
              <w:spacing w:after="120"/>
            </w:pPr>
            <w:r w:rsidRPr="00F64ABA">
              <w:t>Published: date</w:t>
            </w:r>
          </w:p>
          <w:p w:rsidR="00583892" w:rsidRPr="00F64ABA" w:rsidRDefault="00583892" w:rsidP="00D752D6">
            <w:pPr>
              <w:pStyle w:val="MDPI72copyright"/>
              <w:rPr>
                <w:rFonts w:eastAsia="DengXian"/>
                <w:noProof w:val="0"/>
                <w:lang w:val="en-US" w:bidi="en-US"/>
              </w:rPr>
            </w:pPr>
            <w:r w:rsidRPr="00F64ABA">
              <w:rPr>
                <w:rFonts w:eastAsia="DengXian"/>
                <w:b/>
                <w:noProof w:val="0"/>
                <w:lang w:val="en-US" w:bidi="en-US"/>
              </w:rPr>
              <w:t>Copyright:</w:t>
            </w:r>
            <w:r w:rsidRPr="00F64ABA">
              <w:rPr>
                <w:rFonts w:eastAsia="DengXian"/>
                <w:noProof w:val="0"/>
                <w:lang w:val="en-US" w:bidi="en-US"/>
              </w:rPr>
              <w:t xml:space="preserve"> © 2026 by the authors. Submitted for possible open access publication under the terms and conditions of the </w:t>
            </w:r>
            <w:hyperlink r:id="rId7" w:history="1">
              <w:r w:rsidRPr="00F64ABA">
                <w:rPr>
                  <w:rStyle w:val="Kpr"/>
                  <w:rFonts w:eastAsia="DengXian"/>
                  <w:noProof w:val="0"/>
                  <w:u w:val="none"/>
                  <w:lang w:val="en-US" w:bidi="en-US"/>
                </w:rPr>
                <w:t>Creative Commons Attribution (CC BY) license</w:t>
              </w:r>
            </w:hyperlink>
            <w:r w:rsidRPr="00F64ABA">
              <w:rPr>
                <w:rFonts w:eastAsia="DengXian"/>
                <w:noProof w:val="0"/>
                <w:lang w:val="en-US" w:bidi="en-US"/>
              </w:rPr>
              <w:t>.</w:t>
            </w:r>
          </w:p>
        </w:tc>
      </w:tr>
    </w:tbl>
    <w:p w:rsidR="00086F4D" w:rsidRDefault="00086F4D" w:rsidP="00086F4D">
      <w:pPr>
        <w:pStyle w:val="MDPI16affiliation"/>
        <w:rPr>
          <w:lang w:val="tr-TR"/>
        </w:rPr>
      </w:pPr>
      <w:r w:rsidRPr="00086F4D">
        <w:rPr>
          <w:lang w:val="tr-TR"/>
        </w:rPr>
        <w:t xml:space="preserve">¹ Department of Pharmaceutical Microbiology, Faculty of Pharmacy, University of Health Sciences, Istanbul 34668, Türkiye; ddoganay2904@gmail.com (D.D.) </w:t>
      </w:r>
    </w:p>
    <w:p w:rsidR="00086F4D" w:rsidRDefault="00086F4D" w:rsidP="00086F4D">
      <w:pPr>
        <w:pStyle w:val="MDPI16affiliation"/>
        <w:rPr>
          <w:lang w:val="tr-TR"/>
        </w:rPr>
      </w:pPr>
      <w:r w:rsidRPr="00086F4D">
        <w:rPr>
          <w:lang w:val="tr-TR"/>
        </w:rPr>
        <w:t xml:space="preserve">² Department of Phytotherapy, Hamidiye Institute of Health Sciences, University of Health Sciences, Istanbul 34668, Türkiye; esrmertoglu0@gmail.com (E.M.) </w:t>
      </w:r>
    </w:p>
    <w:p w:rsidR="00086F4D" w:rsidRDefault="00086F4D" w:rsidP="00086F4D">
      <w:pPr>
        <w:pStyle w:val="MDPI16affiliation"/>
        <w:rPr>
          <w:lang w:val="tr-TR"/>
        </w:rPr>
      </w:pPr>
      <w:r w:rsidRPr="00086F4D">
        <w:rPr>
          <w:lang w:val="tr-TR"/>
        </w:rPr>
        <w:t xml:space="preserve">³ </w:t>
      </w:r>
      <w:r w:rsidR="00812BCD" w:rsidRPr="00086F4D">
        <w:rPr>
          <w:lang w:val="tr-TR"/>
        </w:rPr>
        <w:t xml:space="preserve">Department of Pharmaceutical Technology, Faculty of Pharmacy, Suleyman Demirel University, Isparta 32000, Türkiye; ahmetkurt@sdu.edu.tr (A.A.K.) </w:t>
      </w:r>
    </w:p>
    <w:p w:rsidR="00086F4D" w:rsidRDefault="00086F4D" w:rsidP="00086F4D">
      <w:pPr>
        <w:pStyle w:val="MDPI16affiliation"/>
        <w:rPr>
          <w:lang w:val="tr-TR"/>
        </w:rPr>
      </w:pPr>
      <w:r w:rsidRPr="00086F4D">
        <w:rPr>
          <w:lang w:val="tr-TR"/>
        </w:rPr>
        <w:t xml:space="preserve">⁴ </w:t>
      </w:r>
      <w:r w:rsidR="00744D55" w:rsidRPr="00086F4D">
        <w:rPr>
          <w:lang w:val="tr-TR"/>
        </w:rPr>
        <w:t>ATABIO Technologies Co., Ltd., Teknopol Istanbul, Istanbul 34903, Türkiye; batuhan.ozkan@atabio.com.tr (B.C.Ö.)</w:t>
      </w:r>
    </w:p>
    <w:p w:rsidR="00086F4D" w:rsidRDefault="00086F4D" w:rsidP="00812BCD">
      <w:pPr>
        <w:pStyle w:val="MDPI16affiliation"/>
        <w:rPr>
          <w:lang w:val="tr-TR"/>
        </w:rPr>
      </w:pPr>
      <w:r w:rsidRPr="00086F4D">
        <w:rPr>
          <w:lang w:val="tr-TR"/>
        </w:rPr>
        <w:t xml:space="preserve">⁵ </w:t>
      </w:r>
      <w:r w:rsidR="00744D55" w:rsidRPr="00086F4D">
        <w:rPr>
          <w:lang w:val="tr-TR"/>
        </w:rPr>
        <w:t>Department of Medical Services and Techniques, Vocational School of Health Services, Sinop University, Sinop 57000, Türkiye; ebursalioglu@sinop.edu.tr (E.O.B.)</w:t>
      </w:r>
    </w:p>
    <w:p w:rsidR="00086F4D" w:rsidRDefault="00086F4D" w:rsidP="00812BCD">
      <w:pPr>
        <w:pStyle w:val="MDPI16affiliation"/>
        <w:rPr>
          <w:lang w:val="tr-TR"/>
        </w:rPr>
      </w:pPr>
      <w:r w:rsidRPr="00086F4D">
        <w:rPr>
          <w:lang w:val="tr-TR"/>
        </w:rPr>
        <w:t xml:space="preserve">⁶ </w:t>
      </w:r>
      <w:r w:rsidR="00744D55" w:rsidRPr="00086F4D">
        <w:rPr>
          <w:lang w:val="tr-TR"/>
        </w:rPr>
        <w:t>SFA R&amp;D Private Health Services Co., Ltd., Teknopark Blv, No:1 3A Z01, Teknopark Istanbul, Pendik, Istanbul 34890, Türkiye; m.eraybozyel@gmail.com (M.E.B.)</w:t>
      </w:r>
    </w:p>
    <w:p w:rsidR="00086F4D" w:rsidRDefault="00086F4D" w:rsidP="00812BCD">
      <w:pPr>
        <w:pStyle w:val="MDPI16affiliation"/>
        <w:rPr>
          <w:lang w:val="tr-TR"/>
        </w:rPr>
      </w:pPr>
      <w:r w:rsidRPr="00086F4D">
        <w:rPr>
          <w:lang w:val="tr-TR"/>
        </w:rPr>
        <w:t xml:space="preserve">⁷ </w:t>
      </w:r>
      <w:r w:rsidR="00744D55">
        <w:t xml:space="preserve">Venar Sağlık A. S., Başkent Organized Industrial Zone, Teknokent Blvd. </w:t>
      </w:r>
      <w:r w:rsidR="00744D55">
        <w:rPr>
          <w:rStyle w:val="citation-69"/>
        </w:rPr>
        <w:t xml:space="preserve">No:39, Malıköy, Sincan, Ankara 06909, Türkiye; </w:t>
      </w:r>
      <w:r w:rsidR="00744D55" w:rsidRPr="00F56122">
        <w:rPr>
          <w:rStyle w:val="citation-69"/>
        </w:rPr>
        <w:t>reyhaneser@hotmail.com</w:t>
      </w:r>
      <w:r w:rsidR="00744D55">
        <w:rPr>
          <w:rStyle w:val="citation-69"/>
        </w:rPr>
        <w:t xml:space="preserve"> (R.A.)</w:t>
      </w:r>
    </w:p>
    <w:p w:rsidR="00F56122" w:rsidRDefault="00086F4D" w:rsidP="00086F4D">
      <w:pPr>
        <w:pStyle w:val="MDPI16affiliation"/>
        <w:rPr>
          <w:rStyle w:val="citation-69"/>
        </w:rPr>
      </w:pPr>
      <w:r w:rsidRPr="00086F4D">
        <w:rPr>
          <w:lang w:val="tr-TR"/>
        </w:rPr>
        <w:t xml:space="preserve">⁸ </w:t>
      </w:r>
      <w:r w:rsidR="00744D55" w:rsidRPr="00086F4D">
        <w:rPr>
          <w:lang w:val="tr-TR"/>
        </w:rPr>
        <w:t>Clinic of Radiology, Sancaktepe Şehit Prof. Dr. İlhan Varank Training and Research Hospital, İstanbul 34785, Türkiye; ozlemkolcak@gmail.com (Ö.T.)</w:t>
      </w:r>
    </w:p>
    <w:p w:rsidR="00086F4D" w:rsidRDefault="00086F4D" w:rsidP="00CE138D">
      <w:pPr>
        <w:pStyle w:val="MDPI16affiliation"/>
        <w:rPr>
          <w:lang w:val="tr-TR"/>
        </w:rPr>
      </w:pPr>
      <w:r w:rsidRPr="00086F4D">
        <w:rPr>
          <w:lang w:val="tr-TR"/>
        </w:rPr>
        <w:t xml:space="preserve">⁹ </w:t>
      </w:r>
      <w:r w:rsidR="00744D55" w:rsidRPr="00086F4D">
        <w:rPr>
          <w:lang w:val="tr-TR"/>
        </w:rPr>
        <w:t>Department of Pharmaceutical Technology, Faculty of Pharmacy, Afyonkarahisar Health Sciences University, Afyonkarahisar 03030, Türkiye; betul.aslan@afsu.edu.tr (H.B.G.)</w:t>
      </w:r>
    </w:p>
    <w:p w:rsidR="00086F4D" w:rsidRDefault="00086F4D" w:rsidP="00744D55">
      <w:pPr>
        <w:pStyle w:val="MDPI16affiliation"/>
        <w:rPr>
          <w:lang w:val="tr-TR"/>
        </w:rPr>
      </w:pPr>
      <w:r w:rsidRPr="00086F4D">
        <w:rPr>
          <w:lang w:val="tr-TR"/>
        </w:rPr>
        <w:t xml:space="preserve">¹⁰ </w:t>
      </w:r>
      <w:r w:rsidR="00744D55">
        <w:t xml:space="preserve">Department of Medical Services and Techniques, Hamidiye Vocational School of Health Services, University of Health Sciences, Istanbul, Türkiye; </w:t>
      </w:r>
      <w:r w:rsidR="00744D55" w:rsidRPr="008E7BA7">
        <w:t>emine.kizilay@sbu.edu.tr</w:t>
      </w:r>
      <w:r w:rsidR="00744D55">
        <w:t xml:space="preserve"> (E.K.)</w:t>
      </w:r>
    </w:p>
    <w:p w:rsidR="00086F4D" w:rsidRDefault="00086F4D" w:rsidP="00086F4D">
      <w:pPr>
        <w:pStyle w:val="MDPI16affiliation"/>
        <w:rPr>
          <w:lang w:val="tr-TR"/>
        </w:rPr>
      </w:pPr>
      <w:r w:rsidRPr="00086F4D">
        <w:rPr>
          <w:lang w:val="tr-TR"/>
        </w:rPr>
        <w:t xml:space="preserve">¹¹ </w:t>
      </w:r>
      <w:r w:rsidR="00744D55" w:rsidRPr="00744D55">
        <w:rPr>
          <w:lang w:val="tr-TR"/>
        </w:rPr>
        <w:t>Department of Medical Services and Techniques, Hamidiye Vocational School and Techniques, University of Health Sciences, Üsküdar, Istanbul, 34668, Türkiye</w:t>
      </w:r>
      <w:r w:rsidR="00744D55">
        <w:rPr>
          <w:lang w:val="tr-TR"/>
        </w:rPr>
        <w:t xml:space="preserve">; </w:t>
      </w:r>
      <w:r w:rsidR="00744D55" w:rsidRPr="00744D55">
        <w:rPr>
          <w:lang w:val="tr-TR"/>
        </w:rPr>
        <w:t>fatih.hacimustafaoglu@sbu.edu.tr</w:t>
      </w:r>
      <w:r w:rsidR="00744D55">
        <w:rPr>
          <w:lang w:val="tr-TR"/>
        </w:rPr>
        <w:t xml:space="preserve"> (F.H.)</w:t>
      </w:r>
    </w:p>
    <w:p w:rsidR="00086F4D" w:rsidRDefault="00086F4D" w:rsidP="008E7BA7">
      <w:pPr>
        <w:pStyle w:val="MDPI16affiliation"/>
        <w:rPr>
          <w:lang w:val="tr-TR"/>
        </w:rPr>
      </w:pPr>
      <w:r w:rsidRPr="00086F4D">
        <w:rPr>
          <w:lang w:val="tr-TR"/>
        </w:rPr>
        <w:t xml:space="preserve">¹² </w:t>
      </w:r>
      <w:r w:rsidR="008E7BA7" w:rsidRPr="00086F4D">
        <w:rPr>
          <w:lang w:val="tr-TR"/>
        </w:rPr>
        <w:t>Division of Biochemistry, Department of Basic Pharmaceutical Sciences, Faculty of Pharmacy, University of Health Sciences, Istanbul 34668, Türkiye; saban.kalay@sbu.edu.tr (Ş.K.)</w:t>
      </w:r>
    </w:p>
    <w:p w:rsidR="00086F4D" w:rsidRDefault="00086F4D" w:rsidP="00D72C1A">
      <w:pPr>
        <w:pStyle w:val="MDPI16affiliation"/>
        <w:rPr>
          <w:lang w:val="tr-TR"/>
        </w:rPr>
      </w:pPr>
      <w:r w:rsidRPr="00086F4D">
        <w:rPr>
          <w:lang w:val="tr-TR"/>
        </w:rPr>
        <w:t xml:space="preserve">¹³ </w:t>
      </w:r>
      <w:r w:rsidR="00D72C1A" w:rsidRPr="00086F4D">
        <w:rPr>
          <w:lang w:val="tr-TR"/>
        </w:rPr>
        <w:t>Pharmacology BSc Programme, School of Cardiovascular &amp; Metabolic Health, University of Glasgow, Glasgow G12 8QQ, Scotland, UK; ranahandemir01@gmail.com (R.H.)</w:t>
      </w:r>
    </w:p>
    <w:p w:rsidR="00D72C1A" w:rsidRDefault="00D72C1A" w:rsidP="00D72C1A">
      <w:pPr>
        <w:pStyle w:val="MDPI16affiliation"/>
        <w:rPr>
          <w:lang w:val="tr-TR"/>
        </w:rPr>
      </w:pPr>
      <w:r w:rsidRPr="00D72C1A">
        <w:rPr>
          <w:vertAlign w:val="superscript"/>
          <w:lang w:val="tr-TR"/>
        </w:rPr>
        <w:t>14</w:t>
      </w:r>
      <w:r w:rsidRPr="00086F4D">
        <w:rPr>
          <w:lang w:val="tr-TR"/>
        </w:rPr>
        <w:t xml:space="preserve"> Department of Veterinary Medicine, Vocational School, Erzincan Binali Yıldırım University, Erzincan 24100, Türkiye; ismail.bayir@sbu.edu.tr (I.B.) </w:t>
      </w:r>
    </w:p>
    <w:p w:rsidR="00FA23CD" w:rsidRDefault="00812BCD" w:rsidP="00FA23CD">
      <w:pPr>
        <w:pStyle w:val="MDPI16affiliation"/>
        <w:rPr>
          <w:lang w:val="tr-TR"/>
        </w:rPr>
      </w:pPr>
      <w:r w:rsidRPr="00086F4D">
        <w:rPr>
          <w:lang w:val="tr-TR"/>
        </w:rPr>
        <w:t>¹</w:t>
      </w:r>
      <w:r w:rsidR="00FA23CD" w:rsidRPr="00FA23CD">
        <w:rPr>
          <w:vertAlign w:val="superscript"/>
          <w:lang w:val="tr-TR"/>
        </w:rPr>
        <w:t>5</w:t>
      </w:r>
      <w:r w:rsidRPr="00086F4D">
        <w:rPr>
          <w:lang w:val="tr-TR"/>
        </w:rPr>
        <w:t xml:space="preserve"> Department of Pharmaceutical Technology, Hamidiye Faculty of Pharmacy, University of Health Sciences, Istanbul 34668, Türkiye; ismail.aslan@sbu.edu.tr (I.A.) </w:t>
      </w:r>
    </w:p>
    <w:p w:rsidR="00086F4D" w:rsidRPr="00FA23CD" w:rsidRDefault="00FA23CD" w:rsidP="00FA23CD">
      <w:pPr>
        <w:pStyle w:val="MDPI16affiliation"/>
        <w:rPr>
          <w:lang w:val="tr-TR"/>
        </w:rPr>
      </w:pPr>
      <w:r w:rsidRPr="00FA23CD">
        <w:rPr>
          <w:b/>
          <w:bCs/>
          <w:lang w:val="tr-TR"/>
        </w:rPr>
        <w:t>*</w:t>
      </w:r>
      <w:r>
        <w:rPr>
          <w:b/>
          <w:bCs/>
          <w:lang w:val="tr-TR"/>
        </w:rPr>
        <w:t xml:space="preserve"> </w:t>
      </w:r>
      <w:r w:rsidR="00086F4D" w:rsidRPr="00FA23CD">
        <w:rPr>
          <w:b/>
          <w:bCs/>
          <w:lang w:val="tr-TR"/>
        </w:rPr>
        <w:t>Correspondence:</w:t>
      </w:r>
      <w:r w:rsidR="00086F4D" w:rsidRPr="00FA23CD">
        <w:rPr>
          <w:lang w:val="tr-TR"/>
        </w:rPr>
        <w:t xml:space="preserve"> ismail.aslan@sbu.edu.tr </w:t>
      </w:r>
    </w:p>
    <w:p w:rsidR="00116A34" w:rsidRPr="00F64ABA" w:rsidRDefault="00166B96" w:rsidP="00116A34">
      <w:pPr>
        <w:pStyle w:val="MDPI17abstract"/>
        <w:jc w:val="left"/>
        <w:rPr>
          <w:b/>
          <w:szCs w:val="18"/>
        </w:rPr>
      </w:pPr>
      <w:r w:rsidRPr="00F64ABA">
        <w:rPr>
          <w:b/>
          <w:szCs w:val="18"/>
        </w:rPr>
        <w:t>Abstract</w:t>
      </w:r>
    </w:p>
    <w:p w:rsidR="00166B96" w:rsidRPr="00F64ABA" w:rsidRDefault="00581A96" w:rsidP="00116A34">
      <w:pPr>
        <w:pStyle w:val="MDPI17abstract"/>
        <w:spacing w:before="0" w:after="0"/>
        <w:rPr>
          <w:bCs/>
          <w:lang w:val="tr-TR"/>
        </w:rPr>
      </w:pPr>
      <w:r w:rsidRPr="00F64ABA">
        <w:rPr>
          <w:b/>
          <w:bCs/>
          <w:lang w:val="tr-TR"/>
        </w:rPr>
        <w:t>Background/Objectives:</w:t>
      </w:r>
      <w:r w:rsidRPr="00F64ABA">
        <w:rPr>
          <w:bCs/>
          <w:lang w:val="tr-TR"/>
        </w:rPr>
        <w:t xml:space="preserve"> Atopic dermatitis (AD) is associated with gut dysbiosis resulting from early-life antibiotic use and </w:t>
      </w:r>
      <w:r w:rsidRPr="00F64ABA">
        <w:rPr>
          <w:bCs/>
          <w:i/>
          <w:iCs/>
          <w:lang w:val="tr-TR"/>
        </w:rPr>
        <w:t>Staphylococcus aureus</w:t>
      </w:r>
      <w:r w:rsidRPr="00F64ABA">
        <w:rPr>
          <w:bCs/>
          <w:lang w:val="tr-TR"/>
        </w:rPr>
        <w:t xml:space="preserve"> colonization. Gum Arabic (GA), a prebiotic, may modulate this dysbiosis and influence AD outcomes. This study investigated the </w:t>
      </w:r>
      <w:r w:rsidRPr="00F64ABA">
        <w:rPr>
          <w:bCs/>
          <w:i/>
          <w:iCs/>
          <w:lang w:val="tr-TR"/>
        </w:rPr>
        <w:t>in vitro</w:t>
      </w:r>
      <w:r w:rsidRPr="00F64ABA">
        <w:rPr>
          <w:bCs/>
          <w:lang w:val="tr-TR"/>
        </w:rPr>
        <w:t xml:space="preserve"> protective effects of GA against two antibiotics, amoxicillin and azithromycin, on AD-associated probiotics—</w:t>
      </w:r>
      <w:r w:rsidRPr="00F64ABA">
        <w:rPr>
          <w:bCs/>
          <w:i/>
          <w:iCs/>
          <w:lang w:val="tr-TR"/>
        </w:rPr>
        <w:t xml:space="preserve">Lactobacillus casei, Bifidobacterium bifidum, </w:t>
      </w:r>
      <w:r w:rsidRPr="00F64ABA">
        <w:rPr>
          <w:bCs/>
          <w:iCs/>
          <w:lang w:val="tr-TR"/>
        </w:rPr>
        <w:t>and</w:t>
      </w:r>
      <w:r w:rsidRPr="00F64ABA">
        <w:rPr>
          <w:bCs/>
          <w:i/>
          <w:iCs/>
          <w:lang w:val="tr-TR"/>
        </w:rPr>
        <w:t xml:space="preserve"> Bifidobacterium infantis—</w:t>
      </w:r>
      <w:r w:rsidRPr="00F64ABA">
        <w:rPr>
          <w:bCs/>
          <w:iCs/>
          <w:lang w:val="tr-TR"/>
        </w:rPr>
        <w:t>and examined its impact on</w:t>
      </w:r>
      <w:r w:rsidRPr="00F64ABA">
        <w:rPr>
          <w:bCs/>
          <w:i/>
          <w:iCs/>
          <w:lang w:val="tr-TR"/>
        </w:rPr>
        <w:t xml:space="preserve"> S. aureus. </w:t>
      </w:r>
      <w:r w:rsidRPr="00F64ABA">
        <w:rPr>
          <w:bCs/>
          <w:iCs/>
          <w:lang w:val="tr-TR"/>
        </w:rPr>
        <w:t>Additionally, the study</w:t>
      </w:r>
      <w:r w:rsidRPr="00F64ABA">
        <w:rPr>
          <w:bCs/>
          <w:lang w:val="tr-TR"/>
        </w:rPr>
        <w:t xml:space="preserve"> aimed to dev</w:t>
      </w:r>
      <w:r w:rsidR="009855E0" w:rsidRPr="00F64ABA">
        <w:rPr>
          <w:bCs/>
          <w:lang w:val="tr-TR"/>
        </w:rPr>
        <w:t>elop GA-phospholipid-based semi</w:t>
      </w:r>
      <w:r w:rsidRPr="00F64ABA">
        <w:rPr>
          <w:bCs/>
          <w:lang w:val="tr-TR"/>
        </w:rPr>
        <w:t xml:space="preserve">solid carriers for topical application. </w:t>
      </w:r>
      <w:r w:rsidRPr="00F64ABA">
        <w:rPr>
          <w:b/>
          <w:bCs/>
          <w:lang w:val="tr-TR"/>
        </w:rPr>
        <w:t>Methods:</w:t>
      </w:r>
      <w:r w:rsidRPr="00F64ABA">
        <w:rPr>
          <w:bCs/>
          <w:lang w:val="tr-TR"/>
        </w:rPr>
        <w:t xml:space="preserve"> Probiotic strains were cultured with 1–5% GA in the presence and absence of antibiotics, and viable cell counts were assessed. Sixteen topical formulations containing propylene glycol or isopropyl myristate in a hydrogenated phosphatidylcholine base </w:t>
      </w:r>
      <w:r w:rsidRPr="00F64ABA">
        <w:rPr>
          <w:bCs/>
          <w:lang w:val="tr-TR"/>
        </w:rPr>
        <w:lastRenderedPageBreak/>
        <w:t xml:space="preserve">were prepared and screened for rheological properties and galactose release using in vitro release testing (IVRT) and HPLC-UV. </w:t>
      </w:r>
      <w:r w:rsidRPr="00F64ABA">
        <w:rPr>
          <w:b/>
          <w:bCs/>
          <w:lang w:val="tr-TR"/>
        </w:rPr>
        <w:t>Results:</w:t>
      </w:r>
      <w:r w:rsidRPr="00F64ABA">
        <w:rPr>
          <w:bCs/>
          <w:lang w:val="tr-TR"/>
        </w:rPr>
        <w:t xml:space="preserve"> GA at 1–2% concentrations promoted probiotic growth in antibiotic-free conditions. GA protected </w:t>
      </w:r>
      <w:r w:rsidRPr="00F64ABA">
        <w:rPr>
          <w:bCs/>
          <w:i/>
          <w:lang w:val="tr-TR"/>
        </w:rPr>
        <w:t>B. infantis</w:t>
      </w:r>
      <w:r w:rsidRPr="00F64ABA">
        <w:rPr>
          <w:bCs/>
          <w:lang w:val="tr-TR"/>
        </w:rPr>
        <w:t xml:space="preserve"> from the inhibitory effects of azithromycin and reduced </w:t>
      </w:r>
      <w:r w:rsidRPr="00F64ABA">
        <w:rPr>
          <w:bCs/>
          <w:i/>
          <w:iCs/>
          <w:lang w:val="tr-TR"/>
        </w:rPr>
        <w:t>S. aureus</w:t>
      </w:r>
      <w:r w:rsidRPr="00F64ABA">
        <w:rPr>
          <w:bCs/>
          <w:lang w:val="tr-TR"/>
        </w:rPr>
        <w:t xml:space="preserve"> resistance in antibiotic-supplemented media. Formulations F14 (2% GA + 7% IPM) and F15 (3% GA + 7% IPM) exhibited optimal spreadability. IVRT showed that 6-hour cumulative galactose release varied by formulation (F6 &gt; F10 &gt; F14 &gt; F15). </w:t>
      </w:r>
      <w:r w:rsidRPr="00F64ABA">
        <w:rPr>
          <w:b/>
          <w:bCs/>
          <w:lang w:val="tr-TR"/>
        </w:rPr>
        <w:t>Conclusions:</w:t>
      </w:r>
      <w:r w:rsidRPr="00F64ABA">
        <w:rPr>
          <w:bCs/>
          <w:lang w:val="tr-TR"/>
        </w:rPr>
        <w:t xml:space="preserve"> GA demonstrated dose-dependent prebiotic activity, preserving </w:t>
      </w:r>
      <w:r w:rsidRPr="00F64ABA">
        <w:rPr>
          <w:bCs/>
          <w:i/>
          <w:lang w:val="tr-TR"/>
        </w:rPr>
        <w:t>B. infantis</w:t>
      </w:r>
      <w:r w:rsidRPr="00F64ABA">
        <w:rPr>
          <w:bCs/>
          <w:lang w:val="tr-TR"/>
        </w:rPr>
        <w:t xml:space="preserve"> viability under azithromycin and enhancing amoxicillin-mediated </w:t>
      </w:r>
      <w:r w:rsidRPr="00F64ABA">
        <w:rPr>
          <w:bCs/>
          <w:i/>
          <w:lang w:val="tr-TR"/>
        </w:rPr>
        <w:t>S. aureus</w:t>
      </w:r>
      <w:r w:rsidRPr="00F64ABA">
        <w:rPr>
          <w:bCs/>
          <w:lang w:val="tr-TR"/>
        </w:rPr>
        <w:t xml:space="preserve"> inhibition. Optimized GA–HPC systems with suitable rheological and release characteristics represent promising candidates for further research and potential topical application.</w:t>
      </w:r>
    </w:p>
    <w:p w:rsidR="007713AF" w:rsidRPr="00F64ABA" w:rsidRDefault="007713AF" w:rsidP="00517440">
      <w:pPr>
        <w:pStyle w:val="MDPI18keywords"/>
        <w:rPr>
          <w:szCs w:val="18"/>
        </w:rPr>
      </w:pPr>
      <w:r w:rsidRPr="00F64ABA">
        <w:rPr>
          <w:b/>
          <w:szCs w:val="18"/>
        </w:rPr>
        <w:t xml:space="preserve">Keywords: </w:t>
      </w:r>
      <w:r w:rsidR="00F43B16" w:rsidRPr="00F64ABA">
        <w:rPr>
          <w:szCs w:val="18"/>
          <w:lang w:val="tr-TR"/>
        </w:rPr>
        <w:t xml:space="preserve">gum arabic; acacia gum; atopic dermatitis; antibiotics; dysbiosis; </w:t>
      </w:r>
      <w:r w:rsidR="00F43B16" w:rsidRPr="00F64ABA">
        <w:rPr>
          <w:i/>
          <w:iCs/>
          <w:szCs w:val="18"/>
          <w:lang w:val="tr-TR"/>
        </w:rPr>
        <w:t>Staphylococcus aureus</w:t>
      </w:r>
      <w:r w:rsidR="00F43B16" w:rsidRPr="00F64ABA">
        <w:rPr>
          <w:szCs w:val="18"/>
          <w:lang w:val="tr-TR"/>
        </w:rPr>
        <w:t>; probiotics; rheology; IVRT</w:t>
      </w:r>
    </w:p>
    <w:p w:rsidR="007713AF" w:rsidRPr="00F64ABA" w:rsidRDefault="007713AF" w:rsidP="00517440">
      <w:pPr>
        <w:pStyle w:val="MDPI19line"/>
      </w:pPr>
    </w:p>
    <w:p w:rsidR="007713AF" w:rsidRPr="00F64ABA" w:rsidRDefault="007713AF" w:rsidP="00517440">
      <w:pPr>
        <w:pStyle w:val="MDPI21heading1"/>
      </w:pPr>
      <w:r w:rsidRPr="00F64ABA">
        <w:t>1. Introduction</w:t>
      </w:r>
    </w:p>
    <w:p w:rsidR="009B0AE4" w:rsidRPr="00F64ABA" w:rsidRDefault="009B0AE4" w:rsidP="009B0AE4">
      <w:pPr>
        <w:pStyle w:val="MDPI31text"/>
        <w:rPr>
          <w:lang w:val="tr-TR"/>
        </w:rPr>
      </w:pPr>
      <w:r w:rsidRPr="00F64ABA">
        <w:rPr>
          <w:lang w:val="tr-TR"/>
        </w:rPr>
        <w:t>Atopic dermatitis (AD) is a chronic inflammatory skin pathology affecting approximately 20% of the global pediatric population [1,2]. Characterized by severe pruritus, xerosis, and localized inflammation, the disease emerges from a complex interplay between genetic predisposition and environmental factors, ultimately leading to epidermal barrier disruption and systemic immune dysfunction [2,3].</w:t>
      </w:r>
    </w:p>
    <w:p w:rsidR="009B0AE4" w:rsidRPr="00F64ABA" w:rsidRDefault="009B0AE4" w:rsidP="009B0AE4">
      <w:pPr>
        <w:pStyle w:val="MDPI31text"/>
        <w:rPr>
          <w:lang w:val="tr-TR"/>
        </w:rPr>
      </w:pPr>
      <w:r w:rsidRPr="00F64ABA">
        <w:rPr>
          <w:lang w:val="tr-TR"/>
        </w:rPr>
        <w:t xml:space="preserve">Recent studies have revealed a direct correlation between AD, alongside other allergic diseases developed later in life, and gut dysbiosis (alteration of microbial composition) caused by childhood antibiotic exposure [4]. Antibiotic exposure during early life, particularly in infancy, rapidly disrupts the composition and diversity of the gut microbiota, which is already being shaped by factors such as delivery mode and diet [5]. Broad-spectrum antibiotics suppress not only pathogens but also commensal microorganisms essential for maintaining immune tolerance, thereby inducing long-term detrimental effects on mucosal immunity and epithelial integrity [6–8]. The resulting dysbiosis can shift the immune response toward a more allergic, Th2-dominant axis, creating a biological foundation for diseases like AD [9]. Indeed, shifts in specific intestinal taxa, such as </w:t>
      </w:r>
      <w:r w:rsidRPr="00F64ABA">
        <w:rPr>
          <w:i/>
          <w:iCs/>
          <w:lang w:val="tr-TR"/>
        </w:rPr>
        <w:t>Clostridia</w:t>
      </w:r>
      <w:r w:rsidRPr="00F64ABA">
        <w:rPr>
          <w:lang w:val="tr-TR"/>
        </w:rPr>
        <w:t>, have been linked to the onset of AD via eosinophilic inflammation [10]. Although epidemiological interpretations can be confounded by reverse causality and confounding by indication, early antibiotic use is widely regarded as a significant trigger that, in conjunction with genetic and environmental factors, increases AD risk through the microbiota-immune development axis [11,12].</w:t>
      </w:r>
    </w:p>
    <w:p w:rsidR="009B0AE4" w:rsidRPr="00F64ABA" w:rsidRDefault="009B0AE4" w:rsidP="009B0AE4">
      <w:pPr>
        <w:pStyle w:val="MDPI31text"/>
        <w:rPr>
          <w:lang w:val="tr-TR"/>
        </w:rPr>
      </w:pPr>
      <w:r w:rsidRPr="00F64ABA">
        <w:rPr>
          <w:lang w:val="tr-TR"/>
        </w:rPr>
        <w:t xml:space="preserve">Infancy is a critical developmental window for microbiota maturation. Systemic antibiotic administration during this phase causes a dramatic reduction in the </w:t>
      </w:r>
      <w:r w:rsidRPr="00F64ABA">
        <w:rPr>
          <w:i/>
          <w:iCs/>
          <w:lang w:val="tr-TR"/>
        </w:rPr>
        <w:t>Bifidobacterium</w:t>
      </w:r>
      <w:r w:rsidRPr="00F64ABA">
        <w:rPr>
          <w:lang w:val="tr-TR"/>
        </w:rPr>
        <w:t xml:space="preserve"> population—a keystone genus crucial for gut health that degrades human milk oligosaccharides and produces short-chain fatty acids (SCFAs)—leading to a dysbiotic state. In children with AD, this dysbiosis extends beyond numerical shifts, manifesting as functional impairments such as reduced fermentative capacity and pathological increases in amino acid metabolism [4]. Recent metagenomic and metabolomic studies have demonstrated that antibiotic exposure permanently alters not only the microbial composition but also its SCFA production capacity. The depletion of SCFAs, particularly butyrate and propionate, adversely affects epithelial barrier proteins like filaggrin (FLG), thereby increasing epidermal permeability and allergen penetration [13–15]. Immunologically, children with AD exhibit elevated levels of epithelial-derived alarmins (TSLP, IL-33) alongside a Th2-dominant cytokine profile (IL-4, IL-5, IL-13) [16]. SCFAs, primarily butyrate, modify </w:t>
      </w:r>
      <w:r w:rsidRPr="00F64ABA">
        <w:rPr>
          <w:lang w:val="tr-TR"/>
        </w:rPr>
        <w:lastRenderedPageBreak/>
        <w:t xml:space="preserve">chromatin structure via histone deacetylase (HDAC) inhibition to suppress inflammatory gene expression, while simultaneously upregulating </w:t>
      </w:r>
      <w:r w:rsidRPr="00F64ABA">
        <w:rPr>
          <w:i/>
          <w:iCs/>
          <w:lang w:val="tr-TR"/>
        </w:rPr>
        <w:t>FOXP3</w:t>
      </w:r>
      <w:r w:rsidRPr="00F64ABA">
        <w:rPr>
          <w:lang w:val="tr-TR"/>
        </w:rPr>
        <w:t xml:space="preserve"> expression to promote regulatory T (Treg) cell differentiation and systemic immune tolerance [17,18]. Furthermore, microbiota-derived metabolites influence microRNA (miRNA) expression, and the dysregulated miRNA profiles observed in AD have been shown to directly impact barrier proteins and cytokine production [19].</w:t>
      </w:r>
    </w:p>
    <w:p w:rsidR="009B0AE4" w:rsidRPr="00F64ABA" w:rsidRDefault="009B0AE4" w:rsidP="009B0AE4">
      <w:pPr>
        <w:pStyle w:val="MDPI31text"/>
        <w:rPr>
          <w:lang w:val="tr-TR"/>
        </w:rPr>
      </w:pPr>
      <w:r w:rsidRPr="00F64ABA">
        <w:rPr>
          <w:lang w:val="tr-TR"/>
        </w:rPr>
        <w:t>The intestinal dysbiosis in AD patients is characterized by a decrease in beneficial species (</w:t>
      </w:r>
      <w:r w:rsidRPr="00F64ABA">
        <w:rPr>
          <w:i/>
          <w:iCs/>
          <w:lang w:val="tr-TR"/>
        </w:rPr>
        <w:t>Lactobacillus</w:t>
      </w:r>
      <w:r w:rsidRPr="00F64ABA">
        <w:rPr>
          <w:lang w:val="tr-TR"/>
        </w:rPr>
        <w:t xml:space="preserve">, </w:t>
      </w:r>
      <w:r w:rsidRPr="00F64ABA">
        <w:rPr>
          <w:i/>
          <w:iCs/>
          <w:lang w:val="tr-TR"/>
        </w:rPr>
        <w:t>Bifidobacterium</w:t>
      </w:r>
      <w:r w:rsidRPr="00F64ABA">
        <w:rPr>
          <w:lang w:val="tr-TR"/>
        </w:rPr>
        <w:t>) and an increase in pathogenic load (</w:t>
      </w:r>
      <w:r w:rsidRPr="00F64ABA">
        <w:rPr>
          <w:i/>
          <w:iCs/>
          <w:lang w:val="tr-TR"/>
        </w:rPr>
        <w:t>Escherichia coli</w:t>
      </w:r>
      <w:r w:rsidRPr="00F64ABA">
        <w:rPr>
          <w:lang w:val="tr-TR"/>
        </w:rPr>
        <w:t xml:space="preserve">, </w:t>
      </w:r>
      <w:r w:rsidRPr="00F64ABA">
        <w:rPr>
          <w:i/>
          <w:iCs/>
          <w:lang w:val="tr-TR"/>
        </w:rPr>
        <w:t>Clostridium difficile</w:t>
      </w:r>
      <w:r w:rsidRPr="00F64ABA">
        <w:rPr>
          <w:lang w:val="tr-TR"/>
        </w:rPr>
        <w:t xml:space="preserve">, </w:t>
      </w:r>
      <w:r w:rsidRPr="00F64ABA">
        <w:rPr>
          <w:i/>
          <w:iCs/>
          <w:lang w:val="tr-TR"/>
        </w:rPr>
        <w:t>Staphylococcus aureus</w:t>
      </w:r>
      <w:r w:rsidRPr="00F64ABA">
        <w:rPr>
          <w:lang w:val="tr-TR"/>
        </w:rPr>
        <w:t xml:space="preserve">). Similarly, the skin microbiota is associated with an expansion of the </w:t>
      </w:r>
      <w:r w:rsidRPr="00F64ABA">
        <w:rPr>
          <w:i/>
          <w:iCs/>
          <w:lang w:val="tr-TR"/>
        </w:rPr>
        <w:t>S. aureus</w:t>
      </w:r>
      <w:r w:rsidRPr="00F64ABA">
        <w:rPr>
          <w:lang w:val="tr-TR"/>
        </w:rPr>
        <w:t xml:space="preserve"> population. Increased </w:t>
      </w:r>
      <w:r w:rsidRPr="00F64ABA">
        <w:rPr>
          <w:i/>
          <w:iCs/>
          <w:lang w:val="tr-TR"/>
        </w:rPr>
        <w:t>S. aureus</w:t>
      </w:r>
      <w:r w:rsidRPr="00F64ABA">
        <w:rPr>
          <w:lang w:val="tr-TR"/>
        </w:rPr>
        <w:t xml:space="preserve"> colonization contributes to the disruption of the natural microbiota and the weakening of the skin barrier through various mechanisms. This dysbiotic process activates signaling pathways via the "gut-brain-skin axis," compromising epidermal integrity and exacerbating inflammation [2]. The influence of the gut microbiota on skin physiology is mediated not only by the immune system but also through microbial metabolites. SCFAs entering the systemic circulation can modulate keratinocyte function and the expression of epidermal barrier proteins [20,21]. Experimental models indicate that SCFAs enhance the expression of epidermal differentiation proteins like filaggrin and loricrin, while suppressing NF-κB-mediated inflammatory pathways [15,21]. Consequently, the reduction in SCFA production following antibiotic use may indirectly weaken both intestinal and epidermal barriers, thereby contributing to AD pathogenesis [15].</w:t>
      </w:r>
    </w:p>
    <w:p w:rsidR="009B0AE4" w:rsidRPr="00F64ABA" w:rsidRDefault="009B0AE4" w:rsidP="009B0AE4">
      <w:pPr>
        <w:pStyle w:val="MDPI31text"/>
        <w:rPr>
          <w:lang w:val="tr-TR"/>
        </w:rPr>
      </w:pPr>
      <w:r w:rsidRPr="00F64ABA">
        <w:rPr>
          <w:lang w:val="tr-TR"/>
        </w:rPr>
        <w:t xml:space="preserve">In pediatric patients requiring mandatory antibiotic therapy, developing strategies to preserve the microbiota and restore its functional capacity is of critical importance. The enhanced SCFA production resulting from the fermentation of prebiotics like GA can reprogram host-microbiota interactions at the epigenetic level, thereby limiting immune deviations. On the other hand, </w:t>
      </w:r>
      <w:r w:rsidRPr="00F64ABA">
        <w:rPr>
          <w:i/>
          <w:iCs/>
          <w:lang w:val="tr-TR"/>
        </w:rPr>
        <w:t>S. aureus</w:t>
      </w:r>
      <w:r w:rsidRPr="00F64ABA">
        <w:rPr>
          <w:lang w:val="tr-TR"/>
        </w:rPr>
        <w:t xml:space="preserve"> colonization, which frequently increases in AD and triggers immune responses in the gut, leading to disease exacerbations, poses severe clinical challenges such as biofilm formation and antibiotic resistance [22]. Given that prebiotics, when used with probiotics, can suppress pathogen adhesion and biofilm formation [23], it is hypothesized that the co-administration of GA with antibiotics could optimize inhibitory concentrations and restrict resistance development through both its microbial balancing effect and potential antimicrobial synergy.</w:t>
      </w:r>
    </w:p>
    <w:p w:rsidR="009B0AE4" w:rsidRPr="00F64ABA" w:rsidRDefault="009B0AE4" w:rsidP="009B0AE4">
      <w:pPr>
        <w:pStyle w:val="MDPI31text"/>
        <w:rPr>
          <w:lang w:val="tr-TR"/>
        </w:rPr>
      </w:pPr>
      <w:r w:rsidRPr="00F64ABA">
        <w:rPr>
          <w:lang w:val="tr-TR"/>
        </w:rPr>
        <w:t xml:space="preserve">In this context, Gum Arabic (GA), derived from </w:t>
      </w:r>
      <w:r w:rsidRPr="00F64ABA">
        <w:rPr>
          <w:i/>
          <w:iCs/>
          <w:lang w:val="tr-TR"/>
        </w:rPr>
        <w:t>Acacia senegal</w:t>
      </w:r>
      <w:r w:rsidRPr="00F64ABA">
        <w:rPr>
          <w:lang w:val="tr-TR"/>
        </w:rPr>
        <w:t xml:space="preserve"> and </w:t>
      </w:r>
      <w:r w:rsidRPr="00F64ABA">
        <w:rPr>
          <w:i/>
          <w:iCs/>
          <w:lang w:val="tr-TR"/>
        </w:rPr>
        <w:t>Acacia seyal</w:t>
      </w:r>
      <w:r w:rsidRPr="00F64ABA">
        <w:rPr>
          <w:lang w:val="tr-TR"/>
        </w:rPr>
        <w:t xml:space="preserve"> species, emerges as a potent prebiotic candidate capable of reversing existing dysbiosis [24]. GA is a highly branched heteropolysaccharide-protein complex exhibiting antioxidant, anti-inflammatory, anticancer, and antimicrobial properties [25–27]. Its biological efficacy varies depending on its botanical origin, with Sudanese varieties reportedly demonstrating stronger antimicrobial activity due to differences in secondary metabolite ratios [28,29]. In the gastrointestinal tract, GA acts as a robust prebiotic, selectively fermented by colonic bacteria to stimulate </w:t>
      </w:r>
      <w:r w:rsidRPr="00F64ABA">
        <w:rPr>
          <w:i/>
          <w:iCs/>
          <w:lang w:val="tr-TR"/>
        </w:rPr>
        <w:t>Bifidobacterium</w:t>
      </w:r>
      <w:r w:rsidRPr="00F64ABA">
        <w:rPr>
          <w:lang w:val="tr-TR"/>
        </w:rPr>
        <w:t xml:space="preserve"> and </w:t>
      </w:r>
      <w:r w:rsidRPr="00F64ABA">
        <w:rPr>
          <w:i/>
          <w:iCs/>
          <w:lang w:val="tr-TR"/>
        </w:rPr>
        <w:t>Lactobacillus</w:t>
      </w:r>
      <w:r w:rsidRPr="00F64ABA">
        <w:rPr>
          <w:lang w:val="tr-TR"/>
        </w:rPr>
        <w:t xml:space="preserve"> populations while suppressing pathogens such as </w:t>
      </w:r>
      <w:r w:rsidRPr="00F64ABA">
        <w:rPr>
          <w:i/>
          <w:iCs/>
          <w:lang w:val="tr-TR"/>
        </w:rPr>
        <w:t>Clostridium</w:t>
      </w:r>
      <w:r w:rsidRPr="00F64ABA">
        <w:rPr>
          <w:lang w:val="tr-TR"/>
        </w:rPr>
        <w:t xml:space="preserve"> [30,31]. Mechanistically, GA promotes the production of SCFAs like butyrate, which inhibits the NF-κB signaling pathway and downregulates pro-inflammatory cytokines such as IL-6 and TNF-α [27,32]. Additionally, GA has been shown to exhibit a synergistic effect with </w:t>
      </w:r>
      <w:r w:rsidRPr="00F64ABA">
        <w:rPr>
          <w:i/>
          <w:iCs/>
          <w:lang w:val="tr-TR"/>
        </w:rPr>
        <w:t>Lactobacillus</w:t>
      </w:r>
      <w:r w:rsidRPr="00F64ABA">
        <w:rPr>
          <w:lang w:val="tr-TR"/>
        </w:rPr>
        <w:t xml:space="preserve"> strains, increasing antimicrobial protein stability and disrupting cell membrane integrity in multidrug-resistant (MDR) pathogens by enhancing DNA leakage [31]. This fermentation process strengthens the gut barrier and restores the Th1/Th2 immune balance, thereby modulating the gut-skin axis [1].</w:t>
      </w:r>
    </w:p>
    <w:p w:rsidR="009B0AE4" w:rsidRPr="00F64ABA" w:rsidRDefault="009B0AE4" w:rsidP="009B0AE4">
      <w:pPr>
        <w:pStyle w:val="MDPI31text"/>
        <w:rPr>
          <w:lang w:val="tr-TR"/>
        </w:rPr>
      </w:pPr>
      <w:r w:rsidRPr="00F64ABA">
        <w:rPr>
          <w:lang w:val="tr-TR"/>
        </w:rPr>
        <w:t xml:space="preserve">While the "antibiotic + supportive/adjuvant approach" appears rational in a clinical context where early-life antibiotics indirectly affect AD pathogenesis by disrupting the microbiota, synergies are not guaranteed, and certain combinations may even induce antagonism [33]. Therefore, quantifying the interaction window of prebiotic candidates like </w:t>
      </w:r>
      <w:r w:rsidRPr="00F64ABA">
        <w:rPr>
          <w:lang w:val="tr-TR"/>
        </w:rPr>
        <w:lastRenderedPageBreak/>
        <w:t xml:space="preserve">GA with antibiotics </w:t>
      </w:r>
      <w:r w:rsidRPr="00F64ABA">
        <w:rPr>
          <w:i/>
          <w:iCs/>
          <w:lang w:val="tr-TR"/>
        </w:rPr>
        <w:t>in vitro</w:t>
      </w:r>
      <w:r w:rsidRPr="00F64ABA">
        <w:rPr>
          <w:lang w:val="tr-TR"/>
        </w:rPr>
        <w:t xml:space="preserve"> is crucial. Moreover, in the "microbiome-friendly" product development paradigm, the </w:t>
      </w:r>
      <w:r w:rsidRPr="00F64ABA">
        <w:rPr>
          <w:i/>
          <w:iCs/>
          <w:lang w:val="tr-TR"/>
        </w:rPr>
        <w:t>in vitro</w:t>
      </w:r>
      <w:r w:rsidRPr="00F64ABA">
        <w:rPr>
          <w:lang w:val="tr-TR"/>
        </w:rPr>
        <w:t xml:space="preserve"> efficacy of postbiotic-containing formulations has been evaluated; specifically, their integration into liposome-gel platforms has been comprehensively characterized in terms of rheology, stability, release kinetics, and antimicrobial activity [34,35]. The systematic investigation of rheological behavior and applicability in topical liposome-gel systems aligns directly with the approach of incorporating GA into a suitable semisolid vehicle [36]. As a natural biopolymer, GA can serve as a functional platform material dictated by its rheological and kinetic parameters [26]. Furthermore, recent studies screening the antimicrobial efficacy of encapsulated or complex systems (e.g., encapsulated hemp seed oil, natural-based sunscreens) provide methodological continuity for the microbiological evaluation pipeline designed in this study [37,38].</w:t>
      </w:r>
    </w:p>
    <w:p w:rsidR="009B0AE4" w:rsidRPr="00F64ABA" w:rsidRDefault="009B0AE4" w:rsidP="009B0AE4">
      <w:pPr>
        <w:pStyle w:val="MDPI31text"/>
        <w:rPr>
          <w:lang w:val="tr-TR"/>
        </w:rPr>
      </w:pPr>
      <w:r w:rsidRPr="00F64ABA">
        <w:rPr>
          <w:lang w:val="tr-TR"/>
        </w:rPr>
        <w:t>To translate this robust microbiological and immunological potential into clinical utility, GA must be integrated into an appropriate pharmaceutical carrier system. In conditions with impaired epidermal barrier integrity like AD, it is critical that topical formulations possess a low-shear viscosity to prolong residence time at the application site, while simultaneously exhibiting a pronounced shear-thinning profile to facilitate spreadability upon rubbing. Moreover, the controlled and predictable release of active prebiotic components from the semisolid matrix is the primary determinant of targeted microbiota modulation and therapeutic efficacy. Accordingly, the rheological and pharmacokinetic (</w:t>
      </w:r>
      <w:r w:rsidRPr="00F64ABA">
        <w:rPr>
          <w:i/>
          <w:iCs/>
          <w:lang w:val="tr-TR"/>
        </w:rPr>
        <w:t>in vitro</w:t>
      </w:r>
      <w:r w:rsidRPr="00F64ABA">
        <w:rPr>
          <w:lang w:val="tr-TR"/>
        </w:rPr>
        <w:t xml:space="preserve"> release testing, IVRT) characterization of semisolid systems combining hydrogenated phosphatidylcholine (HPC) with specific penetration enhancers (PG, IPM) is essential for optimizing GA as a topical agent.</w:t>
      </w:r>
    </w:p>
    <w:p w:rsidR="00B40676" w:rsidRPr="00F64ABA" w:rsidRDefault="009B0AE4" w:rsidP="009B0AE4">
      <w:pPr>
        <w:pStyle w:val="MDPI31text"/>
        <w:rPr>
          <w:b/>
          <w:sz w:val="24"/>
        </w:rPr>
      </w:pPr>
      <w:r w:rsidRPr="00F64ABA">
        <w:rPr>
          <w:lang w:val="tr-TR"/>
        </w:rPr>
        <w:t xml:space="preserve">The primary objective of this study was to evaluate the </w:t>
      </w:r>
      <w:r w:rsidRPr="00F64ABA">
        <w:rPr>
          <w:i/>
          <w:iCs/>
          <w:lang w:val="tr-TR"/>
        </w:rPr>
        <w:t>in vitro</w:t>
      </w:r>
      <w:r w:rsidRPr="00F64ABA">
        <w:rPr>
          <w:lang w:val="tr-TR"/>
        </w:rPr>
        <w:t xml:space="preserve"> protective effects of GA, a known prebiotic, combined with commonly used pediatric antibiotics (amoxicillin and azithromycin) on AD-associated probiotic strains (</w:t>
      </w:r>
      <w:r w:rsidRPr="00F64ABA">
        <w:rPr>
          <w:i/>
          <w:iCs/>
          <w:lang w:val="tr-TR"/>
        </w:rPr>
        <w:t>Lactobacillus casei</w:t>
      </w:r>
      <w:r w:rsidRPr="00F64ABA">
        <w:rPr>
          <w:lang w:val="tr-TR"/>
        </w:rPr>
        <w:t xml:space="preserve">, </w:t>
      </w:r>
      <w:r w:rsidRPr="00F64ABA">
        <w:rPr>
          <w:i/>
          <w:iCs/>
          <w:lang w:val="tr-TR"/>
        </w:rPr>
        <w:t>Bifidobacterium bifidum</w:t>
      </w:r>
      <w:r w:rsidRPr="00F64ABA">
        <w:rPr>
          <w:lang w:val="tr-TR"/>
        </w:rPr>
        <w:t xml:space="preserve">, </w:t>
      </w:r>
      <w:r w:rsidRPr="00F64ABA">
        <w:rPr>
          <w:i/>
          <w:iCs/>
          <w:lang w:val="tr-TR"/>
        </w:rPr>
        <w:t>Bifidobacterium infantis</w:t>
      </w:r>
      <w:r w:rsidRPr="00F64ABA">
        <w:rPr>
          <w:lang w:val="tr-TR"/>
        </w:rPr>
        <w:t xml:space="preserve">), and to investigate its contribution to antibiotic efficacy in overcoming the resistance of the disease-associated </w:t>
      </w:r>
      <w:r w:rsidRPr="00F64ABA">
        <w:rPr>
          <w:i/>
          <w:iCs/>
          <w:lang w:val="tr-TR"/>
        </w:rPr>
        <w:t>Staphylococcus aureus</w:t>
      </w:r>
      <w:r w:rsidRPr="00F64ABA">
        <w:rPr>
          <w:lang w:val="tr-TR"/>
        </w:rPr>
        <w:t xml:space="preserve"> ATTC 29213 strain. In addition to these microbiological targets, the study aimed to design GA-based semisolid carrier systems to translate the biological findings into topical applications, and to identify the optimal smart carrier systems for clinical use by screening these candidate formulations for their rheological behaviors (viscosity-shear rate profiles) and </w:t>
      </w:r>
      <w:r w:rsidRPr="00F64ABA">
        <w:rPr>
          <w:i/>
          <w:iCs/>
          <w:lang w:val="tr-TR"/>
        </w:rPr>
        <w:t>in vitro</w:t>
      </w:r>
      <w:r w:rsidRPr="00F64ABA">
        <w:rPr>
          <w:lang w:val="tr-TR"/>
        </w:rPr>
        <w:t xml:space="preserve"> release kinetics (IVRT) using galactose equivalents.</w:t>
      </w:r>
    </w:p>
    <w:p w:rsidR="00124269" w:rsidRPr="00F64ABA" w:rsidRDefault="003C4625" w:rsidP="00124269">
      <w:pPr>
        <w:pStyle w:val="MDPI21heading1"/>
      </w:pPr>
      <w:r w:rsidRPr="00F64ABA">
        <w:t>2</w:t>
      </w:r>
      <w:r w:rsidR="007713AF" w:rsidRPr="00F64ABA">
        <w:t>. Results</w:t>
      </w:r>
    </w:p>
    <w:p w:rsidR="00124269" w:rsidRPr="00F64ABA" w:rsidRDefault="00124269" w:rsidP="00124269">
      <w:pPr>
        <w:pStyle w:val="MDPI21heading1"/>
        <w:rPr>
          <w:b w:val="0"/>
          <w:sz w:val="20"/>
          <w:szCs w:val="20"/>
        </w:rPr>
      </w:pPr>
      <w:r w:rsidRPr="00F64ABA">
        <w:rPr>
          <w:b w:val="0"/>
          <w:bCs/>
          <w:i/>
          <w:sz w:val="20"/>
          <w:szCs w:val="20"/>
          <w:lang w:val="tr-TR"/>
        </w:rPr>
        <w:t>2.1. Interaction of Gum Arabic and Antibiotics on Atopic Dermatitis-Associated Microbiota</w:t>
      </w:r>
    </w:p>
    <w:p w:rsidR="00C71CBD" w:rsidRPr="00F64ABA" w:rsidRDefault="00124269" w:rsidP="00124269">
      <w:pPr>
        <w:pStyle w:val="MDPI31text"/>
        <w:rPr>
          <w:lang w:val="tr-TR"/>
        </w:rPr>
      </w:pPr>
      <w:r w:rsidRPr="00F64ABA">
        <w:rPr>
          <w:lang w:val="tr-TR"/>
        </w:rPr>
        <w:t xml:space="preserve">In this study, the proliferation levels of </w:t>
      </w:r>
      <w:r w:rsidRPr="00F64ABA">
        <w:rPr>
          <w:i/>
          <w:iCs/>
          <w:lang w:val="tr-TR"/>
        </w:rPr>
        <w:t>L. casei</w:t>
      </w:r>
      <w:r w:rsidRPr="00F64ABA">
        <w:rPr>
          <w:lang w:val="tr-TR"/>
        </w:rPr>
        <w:t xml:space="preserve">, </w:t>
      </w:r>
      <w:r w:rsidRPr="00F64ABA">
        <w:rPr>
          <w:i/>
          <w:iCs/>
          <w:lang w:val="tr-TR"/>
        </w:rPr>
        <w:t>B. infantis</w:t>
      </w:r>
      <w:r w:rsidRPr="00F64ABA">
        <w:rPr>
          <w:lang w:val="tr-TR"/>
        </w:rPr>
        <w:t xml:space="preserve">, </w:t>
      </w:r>
      <w:r w:rsidRPr="00F64ABA">
        <w:rPr>
          <w:i/>
          <w:iCs/>
          <w:lang w:val="tr-TR"/>
        </w:rPr>
        <w:t>B. bifidum</w:t>
      </w:r>
      <w:r w:rsidRPr="00F64ABA">
        <w:rPr>
          <w:lang w:val="tr-TR"/>
        </w:rPr>
        <w:t xml:space="preserve">, and </w:t>
      </w:r>
      <w:r w:rsidRPr="00F64ABA">
        <w:rPr>
          <w:i/>
          <w:iCs/>
          <w:lang w:val="tr-TR"/>
        </w:rPr>
        <w:t>S. aureus</w:t>
      </w:r>
      <w:r w:rsidRPr="00F64ABA">
        <w:rPr>
          <w:lang w:val="tr-TR"/>
        </w:rPr>
        <w:t xml:space="preserve"> ATCC 29213 (reference pathogen strain) were compared in culture media containing varying concentrations of GA (1%, 2%, 3%, and 5% w/v) both in the presence and absence of antibiotics (azithromycin, amoxicillin). For control purposes, the baseline growth levels of these bacteria in standard media lacking both antibiotics and GA were also determined. The obtained data are presented in Table 1.</w:t>
      </w:r>
    </w:p>
    <w:p w:rsidR="00C71CBD" w:rsidRPr="00F64ABA" w:rsidRDefault="00AE2E18" w:rsidP="00AE2E18">
      <w:pPr>
        <w:pStyle w:val="MDPI41tablecaption"/>
        <w:rPr>
          <w:lang w:val="tr-TR"/>
        </w:rPr>
      </w:pPr>
      <w:r w:rsidRPr="00F64ABA">
        <w:rPr>
          <w:b/>
        </w:rPr>
        <w:t>Table 1.</w:t>
      </w:r>
      <w:r w:rsidRPr="00F64ABA">
        <w:t xml:space="preserve"> </w:t>
      </w:r>
      <w:r w:rsidR="00C71CBD" w:rsidRPr="00F64ABA">
        <w:rPr>
          <w:lang w:val="tr-TR"/>
        </w:rPr>
        <w:t>Comparative colony count results (CFU/mL) for bacterial proliferation in GA-supplemented media in the presence and absence of antibiotics.</w:t>
      </w:r>
    </w:p>
    <w:tbl>
      <w:tblPr>
        <w:tblW w:w="7938" w:type="dxa"/>
        <w:tblInd w:w="2552" w:type="dxa"/>
        <w:tblCellMar>
          <w:left w:w="70" w:type="dxa"/>
          <w:right w:w="70" w:type="dxa"/>
        </w:tblCellMar>
        <w:tblLook w:val="04A0" w:firstRow="1" w:lastRow="0" w:firstColumn="1" w:lastColumn="0" w:noHBand="0" w:noVBand="1"/>
      </w:tblPr>
      <w:tblGrid>
        <w:gridCol w:w="1561"/>
        <w:gridCol w:w="766"/>
        <w:gridCol w:w="1134"/>
        <w:gridCol w:w="1134"/>
        <w:gridCol w:w="1134"/>
        <w:gridCol w:w="2209"/>
      </w:tblGrid>
      <w:tr w:rsidR="00C71CBD" w:rsidRPr="00C71CBD" w:rsidTr="00A376DC">
        <w:trPr>
          <w:trHeight w:val="287"/>
        </w:trPr>
        <w:tc>
          <w:tcPr>
            <w:tcW w:w="7938" w:type="dxa"/>
            <w:gridSpan w:val="6"/>
            <w:tcBorders>
              <w:top w:val="single" w:sz="4" w:space="0" w:color="auto"/>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i/>
                <w:iCs/>
                <w:color w:val="auto"/>
                <w:sz w:val="18"/>
                <w:szCs w:val="18"/>
                <w:lang w:val="tr-TR" w:eastAsia="tr-TR"/>
              </w:rPr>
            </w:pPr>
            <w:r w:rsidRPr="00C71CBD">
              <w:rPr>
                <w:rFonts w:eastAsia="Times New Roman"/>
                <w:i/>
                <w:iCs/>
                <w:color w:val="auto"/>
                <w:sz w:val="18"/>
                <w:szCs w:val="18"/>
                <w:lang w:val="tr-TR" w:eastAsia="tr-TR"/>
              </w:rPr>
              <w:t>Lactobacillus casei</w:t>
            </w:r>
          </w:p>
        </w:tc>
      </w:tr>
      <w:tr w:rsidR="00B450CD" w:rsidRPr="00F64ABA" w:rsidTr="00A376DC">
        <w:trPr>
          <w:trHeight w:val="287"/>
        </w:trPr>
        <w:tc>
          <w:tcPr>
            <w:tcW w:w="1561"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 </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MRS</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MRS %1 GA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MRS %2 GA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MRS %3 GA</w:t>
            </w:r>
          </w:p>
        </w:tc>
        <w:tc>
          <w:tcPr>
            <w:tcW w:w="2209"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MRS %5 GA</w:t>
            </w:r>
          </w:p>
        </w:tc>
      </w:tr>
      <w:tr w:rsidR="00B450CD" w:rsidRPr="00F64ABA" w:rsidTr="00A376DC">
        <w:trPr>
          <w:trHeight w:val="327"/>
        </w:trPr>
        <w:tc>
          <w:tcPr>
            <w:tcW w:w="1561"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Non-Antibiotic</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8,3X10</w:t>
            </w:r>
            <w:r w:rsidRPr="00C71CBD">
              <w:rPr>
                <w:rFonts w:eastAsia="Times New Roman"/>
                <w:color w:val="auto"/>
                <w:sz w:val="18"/>
                <w:szCs w:val="18"/>
                <w:vertAlign w:val="superscript"/>
                <w:lang w:val="tr-TR" w:eastAsia="tr-TR"/>
              </w:rPr>
              <w:t>5</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8,4X10</w:t>
            </w:r>
            <w:r w:rsidRPr="00C71CBD">
              <w:rPr>
                <w:rFonts w:eastAsia="Times New Roman"/>
                <w:color w:val="auto"/>
                <w:sz w:val="18"/>
                <w:szCs w:val="18"/>
                <w:vertAlign w:val="superscript"/>
                <w:lang w:val="tr-TR" w:eastAsia="tr-TR"/>
              </w:rPr>
              <w:t>5</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5,1X10</w:t>
            </w:r>
            <w:r w:rsidRPr="00C71CBD">
              <w:rPr>
                <w:rFonts w:eastAsia="Times New Roman"/>
                <w:color w:val="auto"/>
                <w:sz w:val="18"/>
                <w:szCs w:val="18"/>
                <w:vertAlign w:val="superscript"/>
                <w:lang w:val="tr-TR" w:eastAsia="tr-TR"/>
              </w:rPr>
              <w:t>7</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5,1X10</w:t>
            </w:r>
            <w:r w:rsidRPr="00C71CBD">
              <w:rPr>
                <w:rFonts w:eastAsia="Times New Roman"/>
                <w:color w:val="auto"/>
                <w:sz w:val="18"/>
                <w:szCs w:val="18"/>
                <w:vertAlign w:val="superscript"/>
                <w:lang w:val="tr-TR" w:eastAsia="tr-TR"/>
              </w:rPr>
              <w:t>7</w:t>
            </w:r>
          </w:p>
        </w:tc>
        <w:tc>
          <w:tcPr>
            <w:tcW w:w="2209"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5,1X10</w:t>
            </w:r>
            <w:r w:rsidRPr="00C71CBD">
              <w:rPr>
                <w:rFonts w:eastAsia="Times New Roman"/>
                <w:color w:val="auto"/>
                <w:sz w:val="18"/>
                <w:szCs w:val="18"/>
                <w:vertAlign w:val="superscript"/>
                <w:lang w:val="tr-TR" w:eastAsia="tr-TR"/>
              </w:rPr>
              <w:t>5</w:t>
            </w:r>
          </w:p>
        </w:tc>
      </w:tr>
      <w:tr w:rsidR="00B450CD" w:rsidRPr="00F64ABA" w:rsidTr="00A376DC">
        <w:trPr>
          <w:trHeight w:val="287"/>
        </w:trPr>
        <w:tc>
          <w:tcPr>
            <w:tcW w:w="1561"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Azithromycin</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2209"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r>
      <w:tr w:rsidR="00B450CD" w:rsidRPr="00F64ABA" w:rsidTr="00A376DC">
        <w:trPr>
          <w:trHeight w:val="287"/>
        </w:trPr>
        <w:tc>
          <w:tcPr>
            <w:tcW w:w="1561"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Amoxicillin</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2209"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r>
      <w:tr w:rsidR="00C71CBD" w:rsidRPr="00C71CBD" w:rsidTr="00A376DC">
        <w:trPr>
          <w:trHeight w:val="287"/>
        </w:trPr>
        <w:tc>
          <w:tcPr>
            <w:tcW w:w="7938" w:type="dxa"/>
            <w:gridSpan w:val="6"/>
            <w:tcBorders>
              <w:top w:val="single" w:sz="4" w:space="0" w:color="auto"/>
              <w:left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i/>
                <w:iCs/>
                <w:color w:val="auto"/>
                <w:sz w:val="18"/>
                <w:szCs w:val="18"/>
                <w:lang w:val="tr-TR" w:eastAsia="tr-TR"/>
              </w:rPr>
            </w:pPr>
            <w:r w:rsidRPr="00C71CBD">
              <w:rPr>
                <w:rFonts w:eastAsia="Times New Roman"/>
                <w:i/>
                <w:iCs/>
                <w:color w:val="auto"/>
                <w:sz w:val="18"/>
                <w:szCs w:val="18"/>
                <w:lang w:val="tr-TR" w:eastAsia="tr-TR"/>
              </w:rPr>
              <w:lastRenderedPageBreak/>
              <w:t>Bifidobacterium infantis</w:t>
            </w:r>
          </w:p>
        </w:tc>
      </w:tr>
      <w:tr w:rsidR="00B450CD" w:rsidRPr="00F64ABA" w:rsidTr="00A376DC">
        <w:trPr>
          <w:trHeight w:val="287"/>
        </w:trPr>
        <w:tc>
          <w:tcPr>
            <w:tcW w:w="1561"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left"/>
              <w:rPr>
                <w:rFonts w:eastAsia="Times New Roman"/>
                <w:i/>
                <w:iCs/>
                <w:color w:val="auto"/>
                <w:sz w:val="18"/>
                <w:szCs w:val="18"/>
                <w:lang w:val="tr-TR" w:eastAsia="tr-TR"/>
              </w:rPr>
            </w:pPr>
            <w:r w:rsidRPr="00C71CBD">
              <w:rPr>
                <w:rFonts w:eastAsia="Times New Roman"/>
                <w:i/>
                <w:iCs/>
                <w:color w:val="auto"/>
                <w:sz w:val="18"/>
                <w:szCs w:val="18"/>
                <w:lang w:val="tr-TR" w:eastAsia="tr-TR"/>
              </w:rPr>
              <w:t> </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 %1 GA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 %2 GA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 %3 GA</w:t>
            </w:r>
          </w:p>
        </w:tc>
        <w:tc>
          <w:tcPr>
            <w:tcW w:w="2209"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 %5 GA</w:t>
            </w:r>
          </w:p>
        </w:tc>
      </w:tr>
      <w:tr w:rsidR="00B450CD" w:rsidRPr="00F64ABA" w:rsidTr="00A376DC">
        <w:trPr>
          <w:trHeight w:val="327"/>
        </w:trPr>
        <w:tc>
          <w:tcPr>
            <w:tcW w:w="1561" w:type="dxa"/>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Non-Antibiotic</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1,9X10</w:t>
            </w:r>
            <w:r w:rsidRPr="00C71CBD">
              <w:rPr>
                <w:rFonts w:eastAsia="Times New Roman"/>
                <w:color w:val="auto"/>
                <w:sz w:val="18"/>
                <w:szCs w:val="18"/>
                <w:vertAlign w:val="superscript"/>
                <w:lang w:val="tr-TR" w:eastAsia="tr-TR"/>
              </w:rPr>
              <w:t>7</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6,0X10</w:t>
            </w:r>
            <w:r w:rsidRPr="00C71CBD">
              <w:rPr>
                <w:rFonts w:eastAsia="Times New Roman"/>
                <w:color w:val="auto"/>
                <w:sz w:val="18"/>
                <w:szCs w:val="18"/>
                <w:vertAlign w:val="superscript"/>
                <w:lang w:val="tr-TR" w:eastAsia="tr-TR"/>
              </w:rPr>
              <w:t>7</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6,4X10</w:t>
            </w:r>
            <w:r w:rsidRPr="00C71CBD">
              <w:rPr>
                <w:rFonts w:eastAsia="Times New Roman"/>
                <w:color w:val="auto"/>
                <w:sz w:val="18"/>
                <w:szCs w:val="18"/>
                <w:vertAlign w:val="superscript"/>
                <w:lang w:val="tr-TR" w:eastAsia="tr-TR"/>
              </w:rPr>
              <w:t>7</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c>
          <w:tcPr>
            <w:tcW w:w="2209" w:type="dxa"/>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r w:rsidR="00B450CD" w:rsidRPr="00F64ABA" w:rsidTr="00A376DC">
        <w:trPr>
          <w:trHeight w:val="327"/>
        </w:trPr>
        <w:tc>
          <w:tcPr>
            <w:tcW w:w="1561"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Azithromycin</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5,5X10</w:t>
            </w:r>
            <w:r w:rsidRPr="00C71CBD">
              <w:rPr>
                <w:rFonts w:eastAsia="Times New Roman"/>
                <w:color w:val="auto"/>
                <w:sz w:val="18"/>
                <w:szCs w:val="18"/>
                <w:vertAlign w:val="superscript"/>
                <w:lang w:val="tr-TR" w:eastAsia="tr-TR"/>
              </w:rPr>
              <w:t>6</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8,0X10</w:t>
            </w:r>
            <w:r w:rsidRPr="00C71CBD">
              <w:rPr>
                <w:rFonts w:eastAsia="Times New Roman"/>
                <w:color w:val="auto"/>
                <w:sz w:val="18"/>
                <w:szCs w:val="18"/>
                <w:vertAlign w:val="superscript"/>
                <w:lang w:val="tr-TR" w:eastAsia="tr-TR"/>
              </w:rPr>
              <w:t>6</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1,3X10</w:t>
            </w:r>
            <w:r w:rsidRPr="00C71CBD">
              <w:rPr>
                <w:rFonts w:eastAsia="Times New Roman"/>
                <w:color w:val="auto"/>
                <w:sz w:val="18"/>
                <w:szCs w:val="18"/>
                <w:vertAlign w:val="superscript"/>
                <w:lang w:val="tr-TR" w:eastAsia="tr-TR"/>
              </w:rPr>
              <w:t>7</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c>
          <w:tcPr>
            <w:tcW w:w="2209"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r w:rsidR="00B450CD" w:rsidRPr="00F64ABA" w:rsidTr="00A376DC">
        <w:trPr>
          <w:trHeight w:val="287"/>
        </w:trPr>
        <w:tc>
          <w:tcPr>
            <w:tcW w:w="1561"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Amoxicillin</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c>
          <w:tcPr>
            <w:tcW w:w="2209"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r w:rsidR="00C71CBD" w:rsidRPr="00C71CBD" w:rsidTr="00A376DC">
        <w:trPr>
          <w:trHeight w:val="287"/>
        </w:trPr>
        <w:tc>
          <w:tcPr>
            <w:tcW w:w="7938" w:type="dxa"/>
            <w:gridSpan w:val="6"/>
            <w:tcBorders>
              <w:top w:val="single" w:sz="4" w:space="0" w:color="auto"/>
              <w:left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i/>
                <w:iCs/>
                <w:color w:val="auto"/>
                <w:sz w:val="18"/>
                <w:szCs w:val="18"/>
                <w:lang w:val="tr-TR" w:eastAsia="tr-TR"/>
              </w:rPr>
            </w:pPr>
            <w:r w:rsidRPr="00C71CBD">
              <w:rPr>
                <w:rFonts w:eastAsia="Times New Roman"/>
                <w:i/>
                <w:iCs/>
                <w:color w:val="auto"/>
                <w:sz w:val="18"/>
                <w:szCs w:val="18"/>
                <w:lang w:val="tr-TR" w:eastAsia="tr-TR"/>
              </w:rPr>
              <w:t>Bifidobacterium bifidum</w:t>
            </w:r>
          </w:p>
        </w:tc>
      </w:tr>
      <w:tr w:rsidR="00B450CD" w:rsidRPr="00F64ABA" w:rsidTr="00A376DC">
        <w:trPr>
          <w:trHeight w:val="287"/>
        </w:trPr>
        <w:tc>
          <w:tcPr>
            <w:tcW w:w="1561"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left"/>
              <w:rPr>
                <w:rFonts w:eastAsia="Times New Roman"/>
                <w:i/>
                <w:iCs/>
                <w:color w:val="auto"/>
                <w:sz w:val="18"/>
                <w:szCs w:val="18"/>
                <w:lang w:val="tr-TR" w:eastAsia="tr-TR"/>
              </w:rPr>
            </w:pPr>
            <w:r w:rsidRPr="00C71CBD">
              <w:rPr>
                <w:rFonts w:eastAsia="Times New Roman"/>
                <w:i/>
                <w:iCs/>
                <w:color w:val="auto"/>
                <w:sz w:val="18"/>
                <w:szCs w:val="18"/>
                <w:lang w:val="tr-TR" w:eastAsia="tr-TR"/>
              </w:rPr>
              <w:t> </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 %1 GA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 %2 GA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 %3 GA</w:t>
            </w:r>
          </w:p>
        </w:tc>
        <w:tc>
          <w:tcPr>
            <w:tcW w:w="2209"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BHI %5 GA</w:t>
            </w:r>
          </w:p>
        </w:tc>
      </w:tr>
      <w:tr w:rsidR="00B450CD" w:rsidRPr="00F64ABA" w:rsidTr="00A376DC">
        <w:trPr>
          <w:trHeight w:val="327"/>
        </w:trPr>
        <w:tc>
          <w:tcPr>
            <w:tcW w:w="1561" w:type="dxa"/>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Non-Antibiotic</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6,7X10</w:t>
            </w:r>
            <w:r w:rsidRPr="00C71CBD">
              <w:rPr>
                <w:rFonts w:eastAsia="Times New Roman"/>
                <w:color w:val="auto"/>
                <w:sz w:val="18"/>
                <w:szCs w:val="18"/>
                <w:vertAlign w:val="superscript"/>
                <w:lang w:val="tr-TR" w:eastAsia="tr-TR"/>
              </w:rPr>
              <w:t>7</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8,6X10</w:t>
            </w:r>
            <w:r w:rsidRPr="00C71CBD">
              <w:rPr>
                <w:rFonts w:eastAsia="Times New Roman"/>
                <w:color w:val="auto"/>
                <w:sz w:val="18"/>
                <w:szCs w:val="18"/>
                <w:vertAlign w:val="superscript"/>
                <w:lang w:val="tr-TR" w:eastAsia="tr-TR"/>
              </w:rPr>
              <w:t>8</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9,0X10</w:t>
            </w:r>
            <w:r w:rsidRPr="00C71CBD">
              <w:rPr>
                <w:rFonts w:eastAsia="Times New Roman"/>
                <w:color w:val="auto"/>
                <w:sz w:val="18"/>
                <w:szCs w:val="18"/>
                <w:vertAlign w:val="superscript"/>
                <w:lang w:val="tr-TR" w:eastAsia="tr-TR"/>
              </w:rPr>
              <w:t>8</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c>
          <w:tcPr>
            <w:tcW w:w="2209" w:type="dxa"/>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r w:rsidR="00B450CD" w:rsidRPr="00F64ABA" w:rsidTr="00A376DC">
        <w:trPr>
          <w:trHeight w:val="287"/>
        </w:trPr>
        <w:tc>
          <w:tcPr>
            <w:tcW w:w="1561"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Azithromycin</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c>
          <w:tcPr>
            <w:tcW w:w="2209"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r w:rsidR="00B450CD" w:rsidRPr="00F64ABA" w:rsidTr="00A376DC">
        <w:trPr>
          <w:trHeight w:val="287"/>
        </w:trPr>
        <w:tc>
          <w:tcPr>
            <w:tcW w:w="1561"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Amoxicillin</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c>
          <w:tcPr>
            <w:tcW w:w="2209"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r w:rsidR="00C71CBD" w:rsidRPr="00C71CBD" w:rsidTr="00A376DC">
        <w:trPr>
          <w:trHeight w:val="287"/>
        </w:trPr>
        <w:tc>
          <w:tcPr>
            <w:tcW w:w="7938" w:type="dxa"/>
            <w:gridSpan w:val="6"/>
            <w:tcBorders>
              <w:top w:val="single" w:sz="4" w:space="0" w:color="auto"/>
              <w:left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i/>
                <w:iCs/>
                <w:color w:val="auto"/>
                <w:sz w:val="18"/>
                <w:szCs w:val="18"/>
                <w:lang w:val="tr-TR" w:eastAsia="tr-TR"/>
              </w:rPr>
            </w:pPr>
            <w:r w:rsidRPr="00C71CBD">
              <w:rPr>
                <w:rFonts w:eastAsia="Times New Roman"/>
                <w:i/>
                <w:iCs/>
                <w:color w:val="auto"/>
                <w:sz w:val="18"/>
                <w:szCs w:val="18"/>
                <w:lang w:val="tr-TR" w:eastAsia="tr-TR"/>
              </w:rPr>
              <w:t xml:space="preserve">Staphylococcus aureus </w:t>
            </w:r>
            <w:r w:rsidRPr="00C71CBD">
              <w:rPr>
                <w:rFonts w:eastAsia="Times New Roman"/>
                <w:color w:val="auto"/>
                <w:sz w:val="18"/>
                <w:szCs w:val="18"/>
                <w:lang w:val="tr-TR" w:eastAsia="tr-TR"/>
              </w:rPr>
              <w:t>ATCC 29213</w:t>
            </w:r>
          </w:p>
        </w:tc>
      </w:tr>
      <w:tr w:rsidR="00B450CD" w:rsidRPr="00F64ABA" w:rsidTr="00A376DC">
        <w:trPr>
          <w:trHeight w:val="287"/>
        </w:trPr>
        <w:tc>
          <w:tcPr>
            <w:tcW w:w="1561"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left"/>
              <w:rPr>
                <w:rFonts w:eastAsia="Times New Roman"/>
                <w:i/>
                <w:iCs/>
                <w:color w:val="auto"/>
                <w:sz w:val="18"/>
                <w:szCs w:val="18"/>
                <w:lang w:val="tr-TR" w:eastAsia="tr-TR"/>
              </w:rPr>
            </w:pPr>
            <w:r w:rsidRPr="00C71CBD">
              <w:rPr>
                <w:rFonts w:eastAsia="Times New Roman"/>
                <w:i/>
                <w:iCs/>
                <w:color w:val="auto"/>
                <w:sz w:val="18"/>
                <w:szCs w:val="18"/>
                <w:lang w:val="tr-TR" w:eastAsia="tr-TR"/>
              </w:rPr>
              <w:t> </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NA %1 GA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NA %2 GA</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NA %3 GA</w:t>
            </w:r>
          </w:p>
        </w:tc>
        <w:tc>
          <w:tcPr>
            <w:tcW w:w="2209"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NA %5 GA</w:t>
            </w:r>
          </w:p>
        </w:tc>
      </w:tr>
      <w:tr w:rsidR="00B450CD" w:rsidRPr="00F64ABA" w:rsidTr="00A376DC">
        <w:trPr>
          <w:trHeight w:val="327"/>
        </w:trPr>
        <w:tc>
          <w:tcPr>
            <w:tcW w:w="1561" w:type="dxa"/>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Non-Antibiotic</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3,1 X10</w:t>
            </w:r>
            <w:r w:rsidRPr="00C71CBD">
              <w:rPr>
                <w:rFonts w:eastAsia="Times New Roman"/>
                <w:color w:val="auto"/>
                <w:sz w:val="18"/>
                <w:szCs w:val="18"/>
                <w:vertAlign w:val="superscript"/>
                <w:lang w:val="tr-TR" w:eastAsia="tr-TR"/>
              </w:rPr>
              <w:t>9</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5,7X10</w:t>
            </w:r>
            <w:r w:rsidRPr="00C71CBD">
              <w:rPr>
                <w:rFonts w:eastAsia="Times New Roman"/>
                <w:color w:val="auto"/>
                <w:sz w:val="18"/>
                <w:szCs w:val="18"/>
                <w:vertAlign w:val="superscript"/>
                <w:lang w:val="tr-TR" w:eastAsia="tr-TR"/>
              </w:rPr>
              <w:t>9</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5,7X10</w:t>
            </w:r>
            <w:r w:rsidRPr="00C71CBD">
              <w:rPr>
                <w:rFonts w:eastAsia="Times New Roman"/>
                <w:color w:val="auto"/>
                <w:sz w:val="18"/>
                <w:szCs w:val="18"/>
                <w:vertAlign w:val="superscript"/>
                <w:lang w:val="tr-TR" w:eastAsia="tr-TR"/>
              </w:rPr>
              <w:t>9</w:t>
            </w:r>
          </w:p>
        </w:tc>
        <w:tc>
          <w:tcPr>
            <w:tcW w:w="0" w:type="auto"/>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5,9 X10</w:t>
            </w:r>
            <w:r w:rsidRPr="00C71CBD">
              <w:rPr>
                <w:rFonts w:eastAsia="Times New Roman"/>
                <w:color w:val="auto"/>
                <w:sz w:val="18"/>
                <w:szCs w:val="18"/>
                <w:vertAlign w:val="superscript"/>
                <w:lang w:val="tr-TR" w:eastAsia="tr-TR"/>
              </w:rPr>
              <w:t>9</w:t>
            </w:r>
          </w:p>
        </w:tc>
        <w:tc>
          <w:tcPr>
            <w:tcW w:w="2209" w:type="dxa"/>
            <w:tcBorders>
              <w:top w:val="single" w:sz="4" w:space="0" w:color="auto"/>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r w:rsidR="00B450CD" w:rsidRPr="00F64ABA" w:rsidTr="00A376DC">
        <w:trPr>
          <w:trHeight w:val="327"/>
        </w:trPr>
        <w:tc>
          <w:tcPr>
            <w:tcW w:w="1561"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Azithromycin</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4,8 X10</w:t>
            </w:r>
            <w:r w:rsidRPr="00C71CBD">
              <w:rPr>
                <w:rFonts w:eastAsia="Times New Roman"/>
                <w:color w:val="auto"/>
                <w:sz w:val="18"/>
                <w:szCs w:val="18"/>
                <w:vertAlign w:val="superscript"/>
                <w:lang w:val="tr-TR" w:eastAsia="tr-TR"/>
              </w:rPr>
              <w:t>9</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4,8 X10</w:t>
            </w:r>
            <w:r w:rsidRPr="00C71CBD">
              <w:rPr>
                <w:rFonts w:eastAsia="Times New Roman"/>
                <w:color w:val="auto"/>
                <w:sz w:val="18"/>
                <w:szCs w:val="18"/>
                <w:vertAlign w:val="superscript"/>
                <w:lang w:val="tr-TR" w:eastAsia="tr-TR"/>
              </w:rPr>
              <w:t>9</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4,5 X10</w:t>
            </w:r>
            <w:r w:rsidRPr="00C71CBD">
              <w:rPr>
                <w:rFonts w:eastAsia="Times New Roman"/>
                <w:color w:val="auto"/>
                <w:sz w:val="18"/>
                <w:szCs w:val="18"/>
                <w:vertAlign w:val="superscript"/>
                <w:lang w:val="tr-TR" w:eastAsia="tr-TR"/>
              </w:rPr>
              <w:t>9</w:t>
            </w:r>
          </w:p>
        </w:tc>
        <w:tc>
          <w:tcPr>
            <w:tcW w:w="0" w:type="auto"/>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4,7 X10</w:t>
            </w:r>
            <w:r w:rsidRPr="00C71CBD">
              <w:rPr>
                <w:rFonts w:eastAsia="Times New Roman"/>
                <w:color w:val="auto"/>
                <w:sz w:val="18"/>
                <w:szCs w:val="18"/>
                <w:vertAlign w:val="superscript"/>
                <w:lang w:val="tr-TR" w:eastAsia="tr-TR"/>
              </w:rPr>
              <w:t>9</w:t>
            </w:r>
          </w:p>
        </w:tc>
        <w:tc>
          <w:tcPr>
            <w:tcW w:w="2209" w:type="dxa"/>
            <w:tcBorders>
              <w:top w:val="nil"/>
              <w:left w:val="nil"/>
              <w:bottom w:val="nil"/>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r w:rsidR="00B450CD" w:rsidRPr="00F64ABA" w:rsidTr="00A376DC">
        <w:trPr>
          <w:trHeight w:val="327"/>
        </w:trPr>
        <w:tc>
          <w:tcPr>
            <w:tcW w:w="1561"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left"/>
              <w:rPr>
                <w:rFonts w:eastAsia="Times New Roman"/>
                <w:color w:val="auto"/>
                <w:sz w:val="18"/>
                <w:szCs w:val="18"/>
                <w:lang w:val="tr-TR" w:eastAsia="tr-TR"/>
              </w:rPr>
            </w:pPr>
            <w:r w:rsidRPr="00C71CBD">
              <w:rPr>
                <w:rFonts w:eastAsia="Times New Roman"/>
                <w:color w:val="auto"/>
                <w:sz w:val="18"/>
                <w:szCs w:val="18"/>
                <w:lang w:val="tr-TR" w:eastAsia="tr-TR"/>
              </w:rPr>
              <w:t>Amoxicillin</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6,1 X10</w:t>
            </w:r>
            <w:r w:rsidRPr="00C71CBD">
              <w:rPr>
                <w:rFonts w:eastAsia="Times New Roman"/>
                <w:color w:val="auto"/>
                <w:sz w:val="18"/>
                <w:szCs w:val="18"/>
                <w:vertAlign w:val="superscript"/>
                <w:lang w:val="tr-TR" w:eastAsia="tr-TR"/>
              </w:rPr>
              <w:t>9</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3,4X10</w:t>
            </w:r>
            <w:r w:rsidRPr="00C71CBD">
              <w:rPr>
                <w:rFonts w:eastAsia="Times New Roman"/>
                <w:color w:val="auto"/>
                <w:sz w:val="18"/>
                <w:szCs w:val="18"/>
                <w:vertAlign w:val="superscript"/>
                <w:lang w:val="tr-TR" w:eastAsia="tr-TR"/>
              </w:rPr>
              <w:t>9</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1,4X10</w:t>
            </w:r>
            <w:r w:rsidRPr="00C71CBD">
              <w:rPr>
                <w:rFonts w:eastAsia="Times New Roman"/>
                <w:color w:val="auto"/>
                <w:sz w:val="18"/>
                <w:szCs w:val="18"/>
                <w:vertAlign w:val="superscript"/>
                <w:lang w:val="tr-TR" w:eastAsia="tr-TR"/>
              </w:rPr>
              <w:t>9</w:t>
            </w:r>
          </w:p>
        </w:tc>
        <w:tc>
          <w:tcPr>
            <w:tcW w:w="0" w:type="auto"/>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3,1X10</w:t>
            </w:r>
            <w:r w:rsidRPr="00C71CBD">
              <w:rPr>
                <w:rFonts w:eastAsia="Times New Roman"/>
                <w:color w:val="auto"/>
                <w:sz w:val="18"/>
                <w:szCs w:val="18"/>
                <w:vertAlign w:val="superscript"/>
                <w:lang w:val="tr-TR" w:eastAsia="tr-TR"/>
              </w:rPr>
              <w:t>9</w:t>
            </w:r>
          </w:p>
        </w:tc>
        <w:tc>
          <w:tcPr>
            <w:tcW w:w="2209" w:type="dxa"/>
            <w:tcBorders>
              <w:top w:val="nil"/>
              <w:left w:val="nil"/>
              <w:bottom w:val="single" w:sz="4" w:space="0" w:color="auto"/>
              <w:right w:val="nil"/>
            </w:tcBorders>
            <w:shd w:val="clear" w:color="000000" w:fill="FFFFFF"/>
            <w:noWrap/>
            <w:vAlign w:val="bottom"/>
            <w:hideMark/>
          </w:tcPr>
          <w:p w:rsidR="00C71CBD" w:rsidRPr="00C71CBD" w:rsidRDefault="00C71CBD" w:rsidP="00C71CBD">
            <w:pPr>
              <w:spacing w:line="240" w:lineRule="auto"/>
              <w:jc w:val="center"/>
              <w:rPr>
                <w:rFonts w:eastAsia="Times New Roman"/>
                <w:color w:val="auto"/>
                <w:sz w:val="18"/>
                <w:szCs w:val="18"/>
                <w:lang w:val="tr-TR" w:eastAsia="tr-TR"/>
              </w:rPr>
            </w:pPr>
            <w:r w:rsidRPr="00C71CBD">
              <w:rPr>
                <w:rFonts w:eastAsia="Times New Roman"/>
                <w:color w:val="auto"/>
                <w:sz w:val="18"/>
                <w:szCs w:val="18"/>
                <w:lang w:val="tr-TR" w:eastAsia="tr-TR"/>
              </w:rPr>
              <w:t>ND</w:t>
            </w:r>
          </w:p>
        </w:tc>
      </w:tr>
    </w:tbl>
    <w:p w:rsidR="00C71CBD" w:rsidRPr="00F64ABA" w:rsidRDefault="00B450CD" w:rsidP="00124269">
      <w:pPr>
        <w:pStyle w:val="MDPI31text"/>
        <w:rPr>
          <w:lang w:val="tr-TR"/>
        </w:rPr>
      </w:pPr>
      <w:r w:rsidRPr="00F64ABA">
        <w:rPr>
          <w:i/>
          <w:iCs/>
          <w:snapToGrid/>
          <w:color w:val="auto"/>
          <w:sz w:val="16"/>
          <w:szCs w:val="16"/>
          <w:lang w:val="tr-TR" w:eastAsia="tr-TR" w:bidi="ar-SA"/>
        </w:rPr>
        <w:t>(ND: Not determined due to excessive medium softness caused by high GA concentration. (-): No growth observed)</w:t>
      </w:r>
    </w:p>
    <w:p w:rsidR="00427B18" w:rsidRPr="00F64ABA" w:rsidRDefault="00427B18" w:rsidP="00427B18">
      <w:pPr>
        <w:pStyle w:val="MDPI21heading1"/>
        <w:rPr>
          <w:b w:val="0"/>
          <w:sz w:val="20"/>
          <w:szCs w:val="20"/>
        </w:rPr>
      </w:pPr>
      <w:r w:rsidRPr="00F64ABA">
        <w:rPr>
          <w:b w:val="0"/>
          <w:bCs/>
          <w:sz w:val="20"/>
          <w:szCs w:val="20"/>
          <w:lang w:val="tr-TR"/>
        </w:rPr>
        <w:t>2.1.1. Prebiotic Promotion and Protection of Probiotic Viability</w:t>
      </w:r>
    </w:p>
    <w:p w:rsidR="00427B18" w:rsidRPr="00F64ABA" w:rsidRDefault="00427B18" w:rsidP="00427B18">
      <w:pPr>
        <w:pStyle w:val="MDPI31text"/>
        <w:rPr>
          <w:lang w:val="tr-TR"/>
        </w:rPr>
      </w:pPr>
      <w:r w:rsidRPr="00F64ABA">
        <w:rPr>
          <w:lang w:val="tr-TR"/>
        </w:rPr>
        <w:t xml:space="preserve">The baseline growth level of </w:t>
      </w:r>
      <w:r w:rsidRPr="00F64ABA">
        <w:rPr>
          <w:i/>
          <w:iCs/>
          <w:lang w:val="tr-TR"/>
        </w:rPr>
        <w:t>L. casei</w:t>
      </w:r>
      <w:r w:rsidRPr="00F64ABA">
        <w:rPr>
          <w:lang w:val="tr-TR"/>
        </w:rPr>
        <w:t xml:space="preserve"> in the MRS medium was determined as 8.3×10⁵ CFU/mL. The addition of 1% (w/v) GA resulted in a comparable growth level (8.4×10⁵ CFU/mL). However, in media containing 2% and 3% (w/v) GA, the bacterial count escalated to 5.1×10⁷ CFU/mL, indicating approximately a 2-log increase. At 5% (w/v) GA, the proliferation level dropped back to the 10⁵ CFU/mL range. No growth was observed across any GA concentrations in the presence of azithromycin or amoxicillin, suggesting that these antibiotics exerted complete inhibition (bactericidal activity) on </w:t>
      </w:r>
      <w:r w:rsidRPr="00F64ABA">
        <w:rPr>
          <w:i/>
          <w:iCs/>
          <w:lang w:val="tr-TR"/>
        </w:rPr>
        <w:t>L. casei</w:t>
      </w:r>
      <w:r w:rsidRPr="00F64ABA">
        <w:rPr>
          <w:lang w:val="tr-TR"/>
        </w:rPr>
        <w:t>.</w:t>
      </w:r>
    </w:p>
    <w:p w:rsidR="00427B18" w:rsidRPr="00F64ABA" w:rsidRDefault="00427B18" w:rsidP="00427B18">
      <w:pPr>
        <w:pStyle w:val="MDPI31text"/>
        <w:rPr>
          <w:lang w:val="tr-TR"/>
        </w:rPr>
      </w:pPr>
      <w:r w:rsidRPr="00F64ABA">
        <w:rPr>
          <w:lang w:val="tr-TR"/>
        </w:rPr>
        <w:t xml:space="preserve">For </w:t>
      </w:r>
      <w:r w:rsidRPr="00F64ABA">
        <w:rPr>
          <w:i/>
          <w:iCs/>
          <w:lang w:val="tr-TR"/>
        </w:rPr>
        <w:t>Bifidobacterium infantis</w:t>
      </w:r>
      <w:r w:rsidRPr="00F64ABA">
        <w:rPr>
          <w:lang w:val="tr-TR"/>
        </w:rPr>
        <w:t>, the baseline growth of 1.9×10⁷ CFU/mL in antibiotic-free BHI medium increased to 6.0×10⁷ and 6.4×10⁷ CFU/mL with the addition of 1% and 2% (w/v) GA, respectively. This demonstrates the growth-promoting effect of GA at lower concentrations. In the presence of azithromycin, the bacterial count ranged from 5.5×10⁶ to 1.3×10⁷ CFU/mL, representing a decline compared to the control group. However, the bacterial counts in the presence of 1% (w/v) and 2% (w/v) GA were 8.0×10⁶ and 1.3×10⁷ CFU/mL, respectively, which were higher than the antibiotic-only condition. No growth was detected in amoxicillin-treated groups, indicating high susceptibility. Evaluations could not be performed in media containing 3% and 5% (w/v) GA due to altered physical properties of the agar.</w:t>
      </w:r>
    </w:p>
    <w:p w:rsidR="00032D04" w:rsidRPr="00F64ABA" w:rsidRDefault="00427B18" w:rsidP="00427B18">
      <w:pPr>
        <w:pStyle w:val="MDPI31text"/>
        <w:rPr>
          <w:lang w:val="tr-TR"/>
        </w:rPr>
      </w:pPr>
      <w:r w:rsidRPr="00F64ABA">
        <w:rPr>
          <w:lang w:val="tr-TR"/>
        </w:rPr>
        <w:t xml:space="preserve">The population of </w:t>
      </w:r>
      <w:r w:rsidRPr="00F64ABA">
        <w:rPr>
          <w:i/>
          <w:iCs/>
          <w:lang w:val="tr-TR"/>
        </w:rPr>
        <w:t>Bifidobacterium bifidum</w:t>
      </w:r>
      <w:r w:rsidRPr="00F64ABA">
        <w:rPr>
          <w:lang w:val="tr-TR"/>
        </w:rPr>
        <w:t xml:space="preserve"> in antibiotic-free BHI medium was established at 6.7×10⁷ CFU/mL. With 1% and 2% (w/v) GA supplementation, the counts surged to 8.6×10⁸ and 9.0×10⁸ CFU/mL, respectively, marking an approximate 1-log increase. The absence of growth in environments containing azithromycin and amoxicillin underscored the high susceptibility of this strain to both antibiotics.</w:t>
      </w:r>
    </w:p>
    <w:p w:rsidR="00A075E0" w:rsidRPr="00F64ABA" w:rsidRDefault="00A075E0" w:rsidP="00A075E0">
      <w:pPr>
        <w:pStyle w:val="MDPI21heading1"/>
        <w:rPr>
          <w:b w:val="0"/>
          <w:sz w:val="20"/>
          <w:szCs w:val="20"/>
        </w:rPr>
      </w:pPr>
      <w:r w:rsidRPr="00F64ABA">
        <w:rPr>
          <w:b w:val="0"/>
          <w:bCs/>
          <w:sz w:val="20"/>
          <w:szCs w:val="20"/>
          <w:lang w:val="tr-TR"/>
        </w:rPr>
        <w:t xml:space="preserve">2.1.2. Modulation of Antibiotic Resistance in the </w:t>
      </w:r>
      <w:r w:rsidRPr="00F64ABA">
        <w:rPr>
          <w:b w:val="0"/>
          <w:bCs/>
          <w:i/>
          <w:iCs/>
          <w:sz w:val="20"/>
          <w:szCs w:val="20"/>
          <w:lang w:val="tr-TR"/>
        </w:rPr>
        <w:t>S. aureus</w:t>
      </w:r>
      <w:r w:rsidRPr="00F64ABA">
        <w:rPr>
          <w:b w:val="0"/>
          <w:bCs/>
          <w:sz w:val="20"/>
          <w:szCs w:val="20"/>
          <w:lang w:val="tr-TR"/>
        </w:rPr>
        <w:t xml:space="preserve"> Strain</w:t>
      </w:r>
    </w:p>
    <w:p w:rsidR="00A075E0" w:rsidRPr="00F64ABA" w:rsidRDefault="00A075E0" w:rsidP="00A075E0">
      <w:pPr>
        <w:pStyle w:val="MDPI31text"/>
        <w:rPr>
          <w:lang w:val="tr-TR"/>
        </w:rPr>
      </w:pPr>
      <w:r w:rsidRPr="00F64ABA">
        <w:rPr>
          <w:lang w:val="tr-TR"/>
        </w:rPr>
        <w:t xml:space="preserve">The baseline growth of </w:t>
      </w:r>
      <w:r w:rsidRPr="00F64ABA">
        <w:rPr>
          <w:i/>
          <w:iCs/>
          <w:lang w:val="tr-TR"/>
        </w:rPr>
        <w:t>Staphylococcus aureus</w:t>
      </w:r>
      <w:r w:rsidRPr="00F64ABA">
        <w:rPr>
          <w:lang w:val="tr-TR"/>
        </w:rPr>
        <w:t xml:space="preserve"> ATCC 29213 in antibiotic-free NA medium was 3.1×10⁹ CFU/mL, which increased to the 5.7–5.9×10⁹ CFU/mL range with 1–3% (w/v) GA supplementation. In pure antibiotic media, the bacterial count was 4.8×10⁹ CFU/mL for azithromycin and 6.1×10⁹ CFU/mL for amoxicillin. The low inhibition of the </w:t>
      </w:r>
      <w:r w:rsidRPr="00F64ABA">
        <w:rPr>
          <w:i/>
          <w:iCs/>
          <w:lang w:val="tr-TR"/>
        </w:rPr>
        <w:t>S. aureus</w:t>
      </w:r>
      <w:r w:rsidRPr="00F64ABA">
        <w:rPr>
          <w:lang w:val="tr-TR"/>
        </w:rPr>
        <w:t xml:space="preserve"> ATCC 29213 strain at these specific antibiotic doses strongly suggests a potential resistance profile.</w:t>
      </w:r>
    </w:p>
    <w:p w:rsidR="00032D04" w:rsidRPr="00F64ABA" w:rsidRDefault="00A075E0" w:rsidP="00427B18">
      <w:pPr>
        <w:pStyle w:val="MDPI31text"/>
      </w:pPr>
      <w:r w:rsidRPr="00F64ABA">
        <w:rPr>
          <w:lang w:val="tr-TR"/>
        </w:rPr>
        <w:lastRenderedPageBreak/>
        <w:t xml:space="preserve">In the combined presence of azithromycin and 1–3% (w/v) GA, the bacterial count ranged from 4.5 to 4.8×10⁹ CFU/mL. Although not at a logarithmic scale, a numerical reduction in bacterial count was noted, particularly with 2% (w/v) GA. For the amoxicillin and 1–3% (w/v) GA combination, counts were recorded between 1.4 and 3.4×10⁹ CFU/mL. A pronounced decline (1.4×10⁹ CFU/mL) was uniquely observed at the 2% (w/v) GA concentration, with partial reductions at other GA levels. Overall, the supplementation of 1% and 2% GA enhanced probiotic proliferation, while the antibiotics exhibited varying degrees of inhibition depending on the strain. It can be concluded that </w:t>
      </w:r>
      <w:r w:rsidRPr="00F64ABA">
        <w:rPr>
          <w:i/>
          <w:iCs/>
          <w:lang w:val="tr-TR"/>
        </w:rPr>
        <w:t>S. aureus</w:t>
      </w:r>
      <w:r w:rsidRPr="00F64ABA">
        <w:rPr>
          <w:lang w:val="tr-TR"/>
        </w:rPr>
        <w:t xml:space="preserve"> displayed a more robust resistance profile, and the presence of GA could, in specific instances, modulate the inhibitory efficacy of the antibiotics.</w:t>
      </w:r>
    </w:p>
    <w:p w:rsidR="0082507D" w:rsidRPr="00F64ABA" w:rsidRDefault="0082507D" w:rsidP="0082507D">
      <w:pPr>
        <w:pStyle w:val="MDPI21heading1"/>
        <w:rPr>
          <w:b w:val="0"/>
          <w:sz w:val="20"/>
          <w:szCs w:val="20"/>
        </w:rPr>
      </w:pPr>
      <w:r w:rsidRPr="00F64ABA">
        <w:rPr>
          <w:b w:val="0"/>
          <w:bCs/>
          <w:i/>
          <w:sz w:val="20"/>
          <w:szCs w:val="20"/>
          <w:lang w:val="tr-TR"/>
        </w:rPr>
        <w:t>2.2. Rheological and Structural Characterization of the Designed Semisolid Carriers</w:t>
      </w:r>
    </w:p>
    <w:p w:rsidR="00A2154A" w:rsidRPr="00F64ABA" w:rsidRDefault="00A2154A" w:rsidP="00A2154A">
      <w:pPr>
        <w:pStyle w:val="MDPI31text"/>
        <w:rPr>
          <w:lang w:val="tr-TR"/>
        </w:rPr>
      </w:pPr>
      <w:r w:rsidRPr="00F64ABA">
        <w:rPr>
          <w:lang w:val="tr-TR"/>
        </w:rPr>
        <w:t>Across the complete Design of Experiments (DoE) set (F1–F16), all formulations exhibited a monotonic decrease in apparent viscosity as the shear rate increased from 1.7 to 34.0 s⁻¹, signifying a distinct shear-thinning behavior over the tested range.</w:t>
      </w:r>
    </w:p>
    <w:p w:rsidR="00A2154A" w:rsidRPr="00F64ABA" w:rsidRDefault="00A2154A" w:rsidP="00A2154A">
      <w:pPr>
        <w:pStyle w:val="MDPI31text"/>
        <w:rPr>
          <w:lang w:val="tr-TR"/>
        </w:rPr>
      </w:pPr>
      <w:r w:rsidRPr="00F64ABA">
        <w:rPr>
          <w:lang w:val="tr-TR"/>
        </w:rPr>
        <w:t>Within the PG block, apparent viscosity at 1.7 s⁻¹ ranged from 495.0–605.0 mPa·s (SD 14.9–18.1) for 5% PG and 562.5–687.5 mPa·s (SD 16.9–20.6) for 10% PG, with a comparatively modest viscosity decay toward 34.0 s⁻¹ (5% PG: 315.8–386.0 mPa·s, SD 9.5–11.6; 10% PG: 392.7–479.9 mPa·s, SD 11.8–14.4). In the IPM block, increasing the IPM concentration elevated the low-shear viscosity profile and induced a steeper shear-dependent reduction: 3% IPM yielded 585.0–715.0 mPa·s at 1.7 s⁻¹ (SD 17.6–21.5) and 276.7–338.1 mPa·s at 34.0 s⁻¹ (SD 8.3–10.1); whereas 7% IPM produced 810.0–990.0 mPa·s at 1.7 s⁻¹ (SD 24.3–29.7) and 329.8–403.0 mPa·s at 34.0 s⁻¹ (SD 9.9–12.1). In both carrier blocks, under the current formulation and processing settings, the 5% (w/v) GA level trended toward the lower end of the viscosity ranges compared to the 1–3% (w/v) GA levels.</w:t>
      </w:r>
    </w:p>
    <w:p w:rsidR="00CD3547" w:rsidRPr="00F64ABA" w:rsidRDefault="00A2154A" w:rsidP="00CD3547">
      <w:pPr>
        <w:pStyle w:val="MDPI31text"/>
        <w:rPr>
          <w:lang w:val="tr-TR"/>
        </w:rPr>
      </w:pPr>
      <w:r w:rsidRPr="00F64ABA">
        <w:rPr>
          <w:lang w:val="tr-TR"/>
        </w:rPr>
        <w:t>Based on the screening objective of identifying candidates that offer higher low-shear viscosity (to support prolonged residence time at the application site) combined with a pronounced viscosity reduction at higher shear rates (to facilitate ease of spreadability), formulations F14 (2% GA + 7% IPM) and F15 (3% GA + 7% IPM) emerged as the most successful candidates. They provided the highest low-shear viscosities at 1.7 s⁻¹ (990.0 mPa·s, SD 29.7 and 900.0 mPa·s, SD 27.0, respectively), alongside substantially reduced viscosities at 34.0 s⁻¹ (403.0 mPa·s, SD 12.1 and 366.4 mPa·s, SD 11.0, respectively). F10 (2% GA + 3% IPM) preserved the identical qualitative shear-dependent trend but at a lower overall viscosity magnitude, serving as a well-balanced alternative within the IPM series. F6 (2% GA + 10% PG) represented the upper boundary of the PG block (1.7 s⁻¹: 687.5 mPa·s, SD 20.6; 34.0 s⁻¹: 479.9 mPa·s, SD 14.4) and was consequently retained as an aqueous reference for comparing PG and IPM behaviors in subsequent rheological and HPLC-based kinetic evaluations (Table 2, Figure 1).</w:t>
      </w:r>
    </w:p>
    <w:p w:rsidR="00372BA9" w:rsidRPr="00F64ABA" w:rsidRDefault="00885EA4" w:rsidP="00885EA4">
      <w:pPr>
        <w:pStyle w:val="MDPI41tablecaption"/>
        <w:rPr>
          <w:lang w:val="tr-TR"/>
        </w:rPr>
      </w:pPr>
      <w:r w:rsidRPr="00F64ABA">
        <w:rPr>
          <w:b/>
        </w:rPr>
        <w:t>Table 2.</w:t>
      </w:r>
      <w:r w:rsidRPr="00F64ABA">
        <w:t xml:space="preserve"> </w:t>
      </w:r>
      <w:r w:rsidRPr="00F64ABA">
        <w:rPr>
          <w:lang w:val="tr-TR"/>
        </w:rPr>
        <w:t>Apparent viscosity changes of the selected optimal formulations (F6, F10, F14, F15) in response to increasing shear rates (Mean ± SD, n=3).</w:t>
      </w:r>
      <w:r w:rsidR="00372BA9" w:rsidRPr="00F64ABA">
        <w:rPr>
          <w:lang w:val="tr-TR"/>
        </w:rPr>
        <w:t xml:space="preserve"> </w:t>
      </w:r>
    </w:p>
    <w:tbl>
      <w:tblPr>
        <w:tblStyle w:val="TabloKlavuzu"/>
        <w:tblW w:w="4798" w:type="pct"/>
        <w:tblInd w:w="421" w:type="dxa"/>
        <w:tblLook w:val="04A0" w:firstRow="1" w:lastRow="0" w:firstColumn="1" w:lastColumn="0" w:noHBand="0" w:noVBand="1"/>
      </w:tblPr>
      <w:tblGrid>
        <w:gridCol w:w="1323"/>
        <w:gridCol w:w="3649"/>
        <w:gridCol w:w="820"/>
        <w:gridCol w:w="1796"/>
        <w:gridCol w:w="2446"/>
      </w:tblGrid>
      <w:tr w:rsidR="00372BA9" w:rsidRPr="00F64ABA" w:rsidTr="00CF3510">
        <w:tc>
          <w:tcPr>
            <w:tcW w:w="659" w:type="pct"/>
            <w:vAlign w:val="center"/>
            <w:hideMark/>
          </w:tcPr>
          <w:p w:rsidR="00372BA9" w:rsidRPr="00F64ABA" w:rsidRDefault="00372BA9" w:rsidP="00D752D6">
            <w:pPr>
              <w:rPr>
                <w:rFonts w:eastAsia="Times New Roman"/>
                <w:b/>
                <w:bCs/>
                <w:sz w:val="18"/>
                <w:szCs w:val="18"/>
                <w:lang w:eastAsia="tr-TR"/>
              </w:rPr>
            </w:pPr>
            <w:r w:rsidRPr="00F64ABA">
              <w:rPr>
                <w:rFonts w:eastAsia="Times New Roman"/>
                <w:b/>
                <w:bCs/>
                <w:sz w:val="18"/>
                <w:szCs w:val="18"/>
                <w:lang w:eastAsia="tr-TR"/>
              </w:rPr>
              <w:t>Formulation Code</w:t>
            </w:r>
          </w:p>
        </w:tc>
        <w:tc>
          <w:tcPr>
            <w:tcW w:w="1818" w:type="pct"/>
            <w:vAlign w:val="center"/>
            <w:hideMark/>
          </w:tcPr>
          <w:p w:rsidR="00372BA9" w:rsidRPr="00F64ABA" w:rsidRDefault="00372BA9" w:rsidP="00D752D6">
            <w:pPr>
              <w:rPr>
                <w:rFonts w:eastAsia="Times New Roman"/>
                <w:b/>
                <w:bCs/>
                <w:sz w:val="18"/>
                <w:szCs w:val="18"/>
                <w:lang w:eastAsia="tr-TR"/>
              </w:rPr>
            </w:pPr>
            <w:r w:rsidRPr="00F64ABA">
              <w:rPr>
                <w:rFonts w:eastAsia="Times New Roman"/>
                <w:b/>
                <w:bCs/>
                <w:sz w:val="18"/>
                <w:szCs w:val="18"/>
                <w:lang w:eastAsia="tr-TR"/>
              </w:rPr>
              <w:t>Formulation components (single column)</w:t>
            </w:r>
          </w:p>
        </w:tc>
        <w:tc>
          <w:tcPr>
            <w:tcW w:w="408" w:type="pct"/>
            <w:vAlign w:val="center"/>
            <w:hideMark/>
          </w:tcPr>
          <w:p w:rsidR="00372BA9" w:rsidRPr="00F64ABA" w:rsidRDefault="00372BA9" w:rsidP="00D752D6">
            <w:pPr>
              <w:rPr>
                <w:rFonts w:eastAsia="Times New Roman"/>
                <w:b/>
                <w:bCs/>
                <w:sz w:val="18"/>
                <w:szCs w:val="18"/>
                <w:lang w:eastAsia="tr-TR"/>
              </w:rPr>
            </w:pPr>
            <w:r w:rsidRPr="00F64ABA">
              <w:rPr>
                <w:rFonts w:eastAsia="Times New Roman"/>
                <w:b/>
                <w:bCs/>
                <w:sz w:val="18"/>
                <w:szCs w:val="18"/>
                <w:lang w:eastAsia="tr-TR"/>
              </w:rPr>
              <w:t>s⁻¹</w:t>
            </w:r>
          </w:p>
        </w:tc>
        <w:tc>
          <w:tcPr>
            <w:tcW w:w="895" w:type="pct"/>
            <w:vAlign w:val="center"/>
            <w:hideMark/>
          </w:tcPr>
          <w:p w:rsidR="00372BA9" w:rsidRPr="00F64ABA" w:rsidRDefault="00372BA9" w:rsidP="00D752D6">
            <w:pPr>
              <w:rPr>
                <w:rFonts w:eastAsia="Times New Roman"/>
                <w:b/>
                <w:bCs/>
                <w:sz w:val="18"/>
                <w:szCs w:val="18"/>
                <w:lang w:eastAsia="tr-TR"/>
              </w:rPr>
            </w:pPr>
            <w:r w:rsidRPr="00F64ABA">
              <w:rPr>
                <w:rFonts w:eastAsia="Times New Roman"/>
                <w:b/>
                <w:bCs/>
                <w:sz w:val="18"/>
                <w:szCs w:val="18"/>
                <w:lang w:eastAsia="tr-TR"/>
              </w:rPr>
              <w:t>η (mPa·s) (3 replicates ±  SD)</w:t>
            </w:r>
          </w:p>
        </w:tc>
        <w:tc>
          <w:tcPr>
            <w:tcW w:w="1219" w:type="pct"/>
            <w:vAlign w:val="center"/>
            <w:hideMark/>
          </w:tcPr>
          <w:p w:rsidR="00372BA9" w:rsidRPr="00F64ABA" w:rsidRDefault="00372BA9" w:rsidP="00D752D6">
            <w:pPr>
              <w:rPr>
                <w:rFonts w:eastAsia="Times New Roman"/>
                <w:b/>
                <w:bCs/>
                <w:sz w:val="18"/>
                <w:szCs w:val="18"/>
                <w:lang w:eastAsia="tr-TR"/>
              </w:rPr>
            </w:pPr>
            <w:r w:rsidRPr="00F64ABA">
              <w:rPr>
                <w:rFonts w:eastAsia="Times New Roman"/>
                <w:b/>
                <w:bCs/>
                <w:sz w:val="18"/>
                <w:szCs w:val="18"/>
                <w:lang w:eastAsia="tr-TR"/>
              </w:rPr>
              <w:t>Comment</w:t>
            </w: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F14</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1.7</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990.0 ± 29.7</w:t>
            </w:r>
          </w:p>
        </w:tc>
        <w:tc>
          <w:tcPr>
            <w:tcW w:w="1219" w:type="pct"/>
            <w:vMerge w:val="restar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Highest “rest” viscosity with strong shear-thinning; supports retention and good spreadability during application.</w:t>
            </w: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F14</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3.4</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804.0 ± 24.1</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F14</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6.8</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653.5 ± 19.6</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F14</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17.0</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496.0 ± 14.9</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F14</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34.0</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403.0 ± 12.1</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F15</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3%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1.7</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900.0 ± 27.0</w:t>
            </w:r>
          </w:p>
        </w:tc>
        <w:tc>
          <w:tcPr>
            <w:tcW w:w="1219" w:type="pct"/>
            <w:vMerge w:val="restar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Similar to F14; slightly higher GA may increase film formation/adhesion while maintaining spreadability.</w:t>
            </w: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lastRenderedPageBreak/>
              <w:t>F15</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3%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3.4</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731.0 ± 21.9</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lastRenderedPageBreak/>
              <w:t>F15</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3%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6.8</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593.8 ± 17.8</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F15</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3%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17.0</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451.1 ± 13.5</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F15</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3% + IPM 7%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34.0</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366.4 ± 11.0</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F10</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3%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1.7</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715.0 ± 21.5</w:t>
            </w:r>
          </w:p>
        </w:tc>
        <w:tc>
          <w:tcPr>
            <w:tcW w:w="1219" w:type="pct"/>
            <w:vMerge w:val="restar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Moderate viscosity with pronounced shear-thinning; balanced candidate for a lighter sensory profile.</w:t>
            </w: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F10</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3%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3.4</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601.2 ± 18.0</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F10</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3%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6.8</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505.4 ± 15.2</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F10</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3%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17.0</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401.9 ± 12.1</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F10</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IPM 3%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34.0</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338.1 ± 10.1</w:t>
            </w:r>
          </w:p>
        </w:tc>
        <w:tc>
          <w:tcPr>
            <w:tcW w:w="1219" w:type="pct"/>
            <w:vMerge/>
            <w:vAlign w:val="center"/>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F6</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PG 10%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1.7</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687.5 ± 20.6</w:t>
            </w:r>
          </w:p>
        </w:tc>
        <w:tc>
          <w:tcPr>
            <w:tcW w:w="1219" w:type="pct"/>
            <w:vMerge w:val="restar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Highest viscosity within the PG-series; weaker shear-thinning but good applicability in homogeneous aqueous-based systems (reference for PG vs IPM).</w:t>
            </w:r>
          </w:p>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F6</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PG 10%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3.4</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632.7 ± 19.0</w:t>
            </w:r>
          </w:p>
        </w:tc>
        <w:tc>
          <w:tcPr>
            <w:tcW w:w="1219" w:type="pct"/>
            <w:vMerge/>
            <w:vAlign w:val="center"/>
            <w:hideMark/>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F6</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PG 10%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6.8</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582.2 ± 17.5</w:t>
            </w:r>
          </w:p>
        </w:tc>
        <w:tc>
          <w:tcPr>
            <w:tcW w:w="1219" w:type="pct"/>
            <w:vMerge/>
            <w:vAlign w:val="center"/>
            <w:hideMark/>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F6</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PG 10%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17.0</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521.5 ± 15.6</w:t>
            </w:r>
          </w:p>
        </w:tc>
        <w:tc>
          <w:tcPr>
            <w:tcW w:w="1219" w:type="pct"/>
            <w:vMerge/>
            <w:vAlign w:val="center"/>
            <w:hideMark/>
          </w:tcPr>
          <w:p w:rsidR="00372BA9" w:rsidRPr="00F64ABA" w:rsidRDefault="00372BA9" w:rsidP="00D752D6">
            <w:pPr>
              <w:rPr>
                <w:rFonts w:eastAsia="Times New Roman"/>
                <w:sz w:val="18"/>
                <w:szCs w:val="18"/>
                <w:lang w:eastAsia="tr-TR"/>
              </w:rPr>
            </w:pPr>
          </w:p>
        </w:tc>
      </w:tr>
      <w:tr w:rsidR="00372BA9" w:rsidRPr="00F64ABA" w:rsidTr="00CF3510">
        <w:tc>
          <w:tcPr>
            <w:tcW w:w="659"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F6</w:t>
            </w:r>
          </w:p>
        </w:tc>
        <w:tc>
          <w:tcPr>
            <w:tcW w:w="181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GA 2% + PG 10% + HPC 2.5% + water q.s.</w:t>
            </w:r>
          </w:p>
        </w:tc>
        <w:tc>
          <w:tcPr>
            <w:tcW w:w="408"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34.0</w:t>
            </w:r>
          </w:p>
        </w:tc>
        <w:tc>
          <w:tcPr>
            <w:tcW w:w="895" w:type="pct"/>
            <w:vAlign w:val="center"/>
            <w:hideMark/>
          </w:tcPr>
          <w:p w:rsidR="00372BA9" w:rsidRPr="00F64ABA" w:rsidRDefault="00372BA9" w:rsidP="00D752D6">
            <w:pPr>
              <w:rPr>
                <w:rFonts w:eastAsia="Times New Roman"/>
                <w:sz w:val="18"/>
                <w:szCs w:val="18"/>
                <w:lang w:eastAsia="tr-TR"/>
              </w:rPr>
            </w:pPr>
            <w:r w:rsidRPr="00F64ABA">
              <w:rPr>
                <w:rFonts w:eastAsia="Times New Roman"/>
                <w:sz w:val="18"/>
                <w:szCs w:val="18"/>
                <w:lang w:eastAsia="tr-TR"/>
              </w:rPr>
              <w:t>479.9 ± 14.4</w:t>
            </w:r>
          </w:p>
        </w:tc>
        <w:tc>
          <w:tcPr>
            <w:tcW w:w="1219" w:type="pct"/>
            <w:vMerge/>
            <w:vAlign w:val="center"/>
            <w:hideMark/>
          </w:tcPr>
          <w:p w:rsidR="00372BA9" w:rsidRPr="00F64ABA" w:rsidRDefault="00372BA9" w:rsidP="00D752D6">
            <w:pPr>
              <w:rPr>
                <w:rFonts w:eastAsia="Times New Roman"/>
                <w:sz w:val="18"/>
                <w:szCs w:val="18"/>
                <w:lang w:eastAsia="tr-TR"/>
              </w:rPr>
            </w:pPr>
          </w:p>
        </w:tc>
      </w:tr>
    </w:tbl>
    <w:p w:rsidR="00372BA9" w:rsidRPr="00F64ABA" w:rsidRDefault="00372BA9" w:rsidP="00A2154A">
      <w:pPr>
        <w:pStyle w:val="MDPI31text"/>
      </w:pPr>
    </w:p>
    <w:p w:rsidR="00A54653" w:rsidRPr="00F64ABA" w:rsidRDefault="00A54653" w:rsidP="00A2154A">
      <w:pPr>
        <w:pStyle w:val="MDPI31text"/>
      </w:pPr>
    </w:p>
    <w:p w:rsidR="00C450FF" w:rsidRPr="00F64ABA" w:rsidRDefault="00A54653" w:rsidP="00A2154A">
      <w:pPr>
        <w:pStyle w:val="MDPI31text"/>
        <w:rPr>
          <w:sz w:val="18"/>
          <w:lang w:val="tr-TR"/>
        </w:rPr>
      </w:pPr>
      <w:r w:rsidRPr="00F64ABA">
        <w:t xml:space="preserve"> </w:t>
      </w:r>
      <w:r w:rsidRPr="00F64ABA">
        <w:object w:dxaOrig="7198" w:dyaOrig="4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29.5pt" o:ole="">
            <v:imagedata r:id="rId8" o:title=""/>
          </v:shape>
          <o:OLEObject Type="Embed" ProgID="Prism8.Document" ShapeID="_x0000_i1025" DrawAspect="Content" ObjectID="_1837081501" r:id="rId9"/>
        </w:object>
      </w:r>
      <w:r w:rsidRPr="00F64ABA">
        <w:rPr>
          <w:b/>
          <w:bCs/>
          <w:sz w:val="18"/>
          <w:lang w:val="tr-TR"/>
        </w:rPr>
        <w:t>Figure 1.</w:t>
      </w:r>
      <w:r w:rsidRPr="00F64ABA">
        <w:rPr>
          <w:sz w:val="18"/>
          <w:lang w:val="tr-TR"/>
        </w:rPr>
        <w:t xml:space="preserve"> Rheogram displaying the apparent viscosity profiles of the selected formulations against shear rate (1.7–34.0 s⁻¹). The data indicate shear-dependent flow behavior, with IPM-containing formulations (F14, F15) exhibiting the most pronounced shear-thinning properties.</w:t>
      </w:r>
    </w:p>
    <w:p w:rsidR="00C450FF" w:rsidRPr="00F64ABA" w:rsidRDefault="00C450FF" w:rsidP="00C450FF">
      <w:pPr>
        <w:pStyle w:val="MDPI21heading1"/>
        <w:rPr>
          <w:b w:val="0"/>
          <w:sz w:val="20"/>
          <w:szCs w:val="20"/>
        </w:rPr>
      </w:pPr>
      <w:r w:rsidRPr="00F64ABA">
        <w:rPr>
          <w:b w:val="0"/>
          <w:bCs/>
          <w:i/>
          <w:sz w:val="20"/>
          <w:szCs w:val="20"/>
          <w:lang w:val="tr-TR"/>
        </w:rPr>
        <w:t>2.3. In Vitro Release Kinetics and Galactose Release Profiles</w:t>
      </w:r>
    </w:p>
    <w:p w:rsidR="00C450FF" w:rsidRPr="00F64ABA" w:rsidRDefault="00C450FF" w:rsidP="00C450FF">
      <w:pPr>
        <w:pStyle w:val="MDPI31text"/>
        <w:rPr>
          <w:lang w:val="tr-TR"/>
        </w:rPr>
      </w:pPr>
      <w:r w:rsidRPr="00F64ABA">
        <w:rPr>
          <w:lang w:val="tr-TR"/>
        </w:rPr>
        <w:t>IVRT findings demonstrated that the cumulative galactose release for all formulations increased monotonically across a timeframe relevant for topical application. At the 6-hour mark, the cumulative release (mean ± SD) was recorded as 78.414% for F6, 73.186% for F10, 67.212% for F14, and 63.478% for F15. Extending the process to 12 hours saw these rates peak at 85.500% for F6.</w:t>
      </w:r>
    </w:p>
    <w:p w:rsidR="00C450FF" w:rsidRPr="00F64ABA" w:rsidRDefault="00C450FF" w:rsidP="00C450FF">
      <w:pPr>
        <w:pStyle w:val="MDPI31text"/>
        <w:rPr>
          <w:lang w:val="tr-TR"/>
        </w:rPr>
      </w:pPr>
      <w:r w:rsidRPr="00F64ABA">
        <w:rPr>
          <w:lang w:val="tr-TR"/>
        </w:rPr>
        <w:t xml:space="preserve">In the kinetic evaluation, all formulations exhibited high linearity conforming to the Higuchi model (cumulative release versus the square root of time), with determination </w:t>
      </w:r>
      <w:r w:rsidRPr="00F64ABA">
        <w:rPr>
          <w:lang w:val="tr-TR"/>
        </w:rPr>
        <w:lastRenderedPageBreak/>
        <w:t>coefficients (R²) ranging between 0.981 and 0.987. Furthermore, the first-order release rates calculated via logarithmic transformations (% remaining vs. time) also showed excellent model fits (R² = 0.988–0.994) (Table 3, Figure 2).</w:t>
      </w:r>
    </w:p>
    <w:p w:rsidR="00400680" w:rsidRPr="00F64ABA" w:rsidRDefault="00400680" w:rsidP="00400680">
      <w:pPr>
        <w:pStyle w:val="MDPI41tablecaption"/>
        <w:rPr>
          <w:lang w:val="tr-TR"/>
        </w:rPr>
      </w:pPr>
      <w:r w:rsidRPr="00F64ABA">
        <w:rPr>
          <w:b/>
        </w:rPr>
        <w:t>Table 3.</w:t>
      </w:r>
      <w:r w:rsidRPr="00F64ABA">
        <w:t xml:space="preserve"> </w:t>
      </w:r>
      <w:r w:rsidRPr="00F64ABA">
        <w:rPr>
          <w:lang w:val="tr-TR"/>
        </w:rPr>
        <w:t xml:space="preserve">IVRT endpoints and Higuchi rate parameters (n=3). </w:t>
      </w:r>
    </w:p>
    <w:tbl>
      <w:tblPr>
        <w:tblW w:w="9062" w:type="dxa"/>
        <w:tblInd w:w="1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3"/>
        <w:gridCol w:w="1813"/>
        <w:gridCol w:w="1812"/>
        <w:gridCol w:w="1812"/>
        <w:gridCol w:w="1812"/>
      </w:tblGrid>
      <w:tr w:rsidR="005569A2" w:rsidRPr="00F64ABA" w:rsidTr="005569A2">
        <w:trPr>
          <w:trHeight w:hRule="exact" w:val="680"/>
        </w:trPr>
        <w:tc>
          <w:tcPr>
            <w:tcW w:w="1813" w:type="dxa"/>
          </w:tcPr>
          <w:p w:rsidR="005569A2" w:rsidRPr="00F64ABA" w:rsidRDefault="005569A2" w:rsidP="00D752D6">
            <w:pPr>
              <w:rPr>
                <w:sz w:val="18"/>
                <w:szCs w:val="18"/>
              </w:rPr>
            </w:pPr>
            <w:r w:rsidRPr="00F64ABA">
              <w:rPr>
                <w:rFonts w:eastAsia="Times New Roman"/>
                <w:b/>
                <w:bCs/>
                <w:sz w:val="18"/>
                <w:szCs w:val="18"/>
                <w:lang w:eastAsia="tr-TR"/>
              </w:rPr>
              <w:t>Formulation</w:t>
            </w:r>
          </w:p>
        </w:tc>
        <w:tc>
          <w:tcPr>
            <w:tcW w:w="1813" w:type="dxa"/>
            <w:vAlign w:val="center"/>
          </w:tcPr>
          <w:p w:rsidR="005569A2" w:rsidRPr="00F64ABA" w:rsidRDefault="005569A2" w:rsidP="00D752D6">
            <w:pPr>
              <w:spacing w:after="480" w:line="240" w:lineRule="auto"/>
              <w:rPr>
                <w:rFonts w:eastAsia="Times New Roman"/>
                <w:sz w:val="18"/>
                <w:szCs w:val="18"/>
                <w:lang w:eastAsia="tr-TR"/>
              </w:rPr>
            </w:pPr>
            <w:r w:rsidRPr="00F64ABA">
              <w:rPr>
                <w:rFonts w:eastAsia="Times New Roman"/>
                <w:b/>
                <w:bCs/>
                <w:sz w:val="18"/>
                <w:szCs w:val="18"/>
                <w:lang w:eastAsia="tr-TR"/>
              </w:rPr>
              <w:t>Q6h (%; Mean ± SD)</w:t>
            </w:r>
          </w:p>
        </w:tc>
        <w:tc>
          <w:tcPr>
            <w:tcW w:w="1812" w:type="dxa"/>
            <w:vAlign w:val="center"/>
          </w:tcPr>
          <w:p w:rsidR="005569A2" w:rsidRPr="00F64ABA" w:rsidRDefault="005569A2" w:rsidP="00D752D6">
            <w:pPr>
              <w:spacing w:after="480" w:line="240" w:lineRule="auto"/>
              <w:rPr>
                <w:rFonts w:eastAsia="Times New Roman"/>
                <w:sz w:val="18"/>
                <w:szCs w:val="18"/>
                <w:lang w:eastAsia="tr-TR"/>
              </w:rPr>
            </w:pPr>
            <w:r w:rsidRPr="00F64ABA">
              <w:rPr>
                <w:rFonts w:eastAsia="Times New Roman"/>
                <w:b/>
                <w:bCs/>
                <w:sz w:val="18"/>
                <w:szCs w:val="18"/>
                <w:lang w:eastAsia="tr-TR"/>
              </w:rPr>
              <w:t>Q12h (%; Mean ± SD)</w:t>
            </w:r>
          </w:p>
        </w:tc>
        <w:tc>
          <w:tcPr>
            <w:tcW w:w="1812" w:type="dxa"/>
            <w:vAlign w:val="center"/>
          </w:tcPr>
          <w:p w:rsidR="005569A2" w:rsidRPr="00F64ABA" w:rsidRDefault="005569A2" w:rsidP="00D752D6">
            <w:pPr>
              <w:spacing w:after="480" w:line="240" w:lineRule="auto"/>
              <w:rPr>
                <w:rFonts w:eastAsia="Times New Roman"/>
                <w:sz w:val="18"/>
                <w:szCs w:val="18"/>
                <w:lang w:eastAsia="tr-TR"/>
              </w:rPr>
            </w:pPr>
            <w:r w:rsidRPr="00F64ABA">
              <w:rPr>
                <w:rFonts w:eastAsia="Times New Roman"/>
                <w:b/>
                <w:bCs/>
                <w:sz w:val="18"/>
                <w:szCs w:val="18"/>
                <w:lang w:eastAsia="tr-TR"/>
              </w:rPr>
              <w:t>kH (%·h⁻¹/²)</w:t>
            </w:r>
          </w:p>
        </w:tc>
        <w:tc>
          <w:tcPr>
            <w:tcW w:w="1812" w:type="dxa"/>
            <w:vAlign w:val="center"/>
          </w:tcPr>
          <w:p w:rsidR="005569A2" w:rsidRPr="00F64ABA" w:rsidRDefault="005569A2" w:rsidP="00D752D6">
            <w:pPr>
              <w:spacing w:after="480" w:line="240" w:lineRule="auto"/>
              <w:rPr>
                <w:rFonts w:eastAsia="Times New Roman"/>
                <w:sz w:val="18"/>
                <w:szCs w:val="18"/>
                <w:lang w:eastAsia="tr-TR"/>
              </w:rPr>
            </w:pPr>
            <w:r w:rsidRPr="00F64ABA">
              <w:rPr>
                <w:rFonts w:eastAsia="Times New Roman"/>
                <w:b/>
                <w:bCs/>
                <w:sz w:val="18"/>
                <w:szCs w:val="18"/>
                <w:lang w:eastAsia="tr-TR"/>
              </w:rPr>
              <w:t>R² (0.5–6 h)</w:t>
            </w:r>
          </w:p>
        </w:tc>
      </w:tr>
      <w:tr w:rsidR="005569A2" w:rsidRPr="00F64ABA" w:rsidTr="005569A2">
        <w:tc>
          <w:tcPr>
            <w:tcW w:w="1813" w:type="dxa"/>
          </w:tcPr>
          <w:p w:rsidR="005569A2" w:rsidRPr="00F64ABA" w:rsidRDefault="005569A2" w:rsidP="00D752D6">
            <w:pPr>
              <w:rPr>
                <w:sz w:val="18"/>
                <w:szCs w:val="18"/>
              </w:rPr>
            </w:pPr>
            <w:r w:rsidRPr="00F64ABA">
              <w:rPr>
                <w:sz w:val="18"/>
                <w:szCs w:val="18"/>
              </w:rPr>
              <w:t>F6</w:t>
            </w:r>
          </w:p>
        </w:tc>
        <w:tc>
          <w:tcPr>
            <w:tcW w:w="1813" w:type="dxa"/>
          </w:tcPr>
          <w:p w:rsidR="005569A2" w:rsidRPr="00F64ABA" w:rsidRDefault="005569A2" w:rsidP="00D752D6">
            <w:pPr>
              <w:rPr>
                <w:sz w:val="18"/>
                <w:szCs w:val="18"/>
              </w:rPr>
            </w:pPr>
            <w:r w:rsidRPr="00F64ABA">
              <w:rPr>
                <w:sz w:val="18"/>
                <w:szCs w:val="18"/>
              </w:rPr>
              <w:t>78,414 ± 2,352</w:t>
            </w:r>
          </w:p>
        </w:tc>
        <w:tc>
          <w:tcPr>
            <w:tcW w:w="1812" w:type="dxa"/>
          </w:tcPr>
          <w:p w:rsidR="005569A2" w:rsidRPr="00F64ABA" w:rsidRDefault="005569A2" w:rsidP="00D752D6">
            <w:pPr>
              <w:rPr>
                <w:sz w:val="18"/>
                <w:szCs w:val="18"/>
              </w:rPr>
            </w:pPr>
            <w:r w:rsidRPr="00F64ABA">
              <w:rPr>
                <w:sz w:val="18"/>
                <w:szCs w:val="18"/>
              </w:rPr>
              <w:t>85,500 ± 2,565</w:t>
            </w:r>
          </w:p>
        </w:tc>
        <w:tc>
          <w:tcPr>
            <w:tcW w:w="1812" w:type="dxa"/>
          </w:tcPr>
          <w:p w:rsidR="005569A2" w:rsidRPr="00F64ABA" w:rsidRDefault="005569A2" w:rsidP="00D752D6">
            <w:pPr>
              <w:rPr>
                <w:sz w:val="18"/>
                <w:szCs w:val="18"/>
              </w:rPr>
            </w:pPr>
            <w:r w:rsidRPr="00F64ABA">
              <w:rPr>
                <w:sz w:val="18"/>
                <w:szCs w:val="18"/>
              </w:rPr>
              <w:t>44,872</w:t>
            </w:r>
          </w:p>
        </w:tc>
        <w:tc>
          <w:tcPr>
            <w:tcW w:w="1812" w:type="dxa"/>
          </w:tcPr>
          <w:p w:rsidR="005569A2" w:rsidRPr="00F64ABA" w:rsidRDefault="005569A2" w:rsidP="00D752D6">
            <w:pPr>
              <w:rPr>
                <w:sz w:val="18"/>
                <w:szCs w:val="18"/>
              </w:rPr>
            </w:pPr>
            <w:r w:rsidRPr="00F64ABA">
              <w:rPr>
                <w:sz w:val="18"/>
                <w:szCs w:val="18"/>
              </w:rPr>
              <w:t>0,981-0,987</w:t>
            </w:r>
          </w:p>
        </w:tc>
      </w:tr>
      <w:tr w:rsidR="005569A2" w:rsidRPr="00F64ABA" w:rsidTr="005569A2">
        <w:tc>
          <w:tcPr>
            <w:tcW w:w="1813" w:type="dxa"/>
          </w:tcPr>
          <w:p w:rsidR="005569A2" w:rsidRPr="00F64ABA" w:rsidRDefault="005569A2" w:rsidP="00D752D6">
            <w:pPr>
              <w:rPr>
                <w:sz w:val="18"/>
                <w:szCs w:val="18"/>
              </w:rPr>
            </w:pPr>
            <w:r w:rsidRPr="00F64ABA">
              <w:rPr>
                <w:sz w:val="18"/>
                <w:szCs w:val="18"/>
              </w:rPr>
              <w:t>F10</w:t>
            </w:r>
          </w:p>
        </w:tc>
        <w:tc>
          <w:tcPr>
            <w:tcW w:w="1813" w:type="dxa"/>
          </w:tcPr>
          <w:p w:rsidR="005569A2" w:rsidRPr="00F64ABA" w:rsidRDefault="005569A2" w:rsidP="00D752D6">
            <w:pPr>
              <w:rPr>
                <w:sz w:val="18"/>
                <w:szCs w:val="18"/>
              </w:rPr>
            </w:pPr>
            <w:r w:rsidRPr="00F64ABA">
              <w:rPr>
                <w:sz w:val="18"/>
                <w:szCs w:val="18"/>
              </w:rPr>
              <w:t>73,186 ± 2,196</w:t>
            </w:r>
          </w:p>
        </w:tc>
        <w:tc>
          <w:tcPr>
            <w:tcW w:w="1812" w:type="dxa"/>
          </w:tcPr>
          <w:p w:rsidR="005569A2" w:rsidRPr="00F64ABA" w:rsidRDefault="005569A2" w:rsidP="00D752D6">
            <w:pPr>
              <w:rPr>
                <w:sz w:val="18"/>
                <w:szCs w:val="18"/>
              </w:rPr>
            </w:pPr>
            <w:r w:rsidRPr="00F64ABA">
              <w:rPr>
                <w:sz w:val="18"/>
                <w:szCs w:val="18"/>
              </w:rPr>
              <w:t>81,350 ± 2,440</w:t>
            </w:r>
          </w:p>
        </w:tc>
        <w:tc>
          <w:tcPr>
            <w:tcW w:w="1812" w:type="dxa"/>
          </w:tcPr>
          <w:p w:rsidR="005569A2" w:rsidRPr="00F64ABA" w:rsidRDefault="005569A2" w:rsidP="00D752D6">
            <w:pPr>
              <w:rPr>
                <w:sz w:val="18"/>
                <w:szCs w:val="18"/>
              </w:rPr>
            </w:pPr>
            <w:r w:rsidRPr="00F64ABA">
              <w:rPr>
                <w:sz w:val="18"/>
                <w:szCs w:val="18"/>
              </w:rPr>
              <w:t>42,017</w:t>
            </w:r>
          </w:p>
        </w:tc>
        <w:tc>
          <w:tcPr>
            <w:tcW w:w="1812" w:type="dxa"/>
          </w:tcPr>
          <w:p w:rsidR="005569A2" w:rsidRPr="00F64ABA" w:rsidRDefault="005569A2" w:rsidP="00D752D6">
            <w:pPr>
              <w:rPr>
                <w:sz w:val="18"/>
                <w:szCs w:val="18"/>
              </w:rPr>
            </w:pPr>
            <w:r w:rsidRPr="00F64ABA">
              <w:rPr>
                <w:sz w:val="18"/>
                <w:szCs w:val="18"/>
              </w:rPr>
              <w:t>0,981-0,987</w:t>
            </w:r>
          </w:p>
        </w:tc>
      </w:tr>
      <w:tr w:rsidR="005569A2" w:rsidRPr="00F64ABA" w:rsidTr="005569A2">
        <w:tc>
          <w:tcPr>
            <w:tcW w:w="1813" w:type="dxa"/>
          </w:tcPr>
          <w:p w:rsidR="005569A2" w:rsidRPr="00F64ABA" w:rsidRDefault="005569A2" w:rsidP="00D752D6">
            <w:pPr>
              <w:rPr>
                <w:sz w:val="18"/>
                <w:szCs w:val="18"/>
              </w:rPr>
            </w:pPr>
            <w:r w:rsidRPr="00F64ABA">
              <w:rPr>
                <w:sz w:val="18"/>
                <w:szCs w:val="18"/>
              </w:rPr>
              <w:t>F14</w:t>
            </w:r>
          </w:p>
        </w:tc>
        <w:tc>
          <w:tcPr>
            <w:tcW w:w="1813" w:type="dxa"/>
          </w:tcPr>
          <w:p w:rsidR="005569A2" w:rsidRPr="00F64ABA" w:rsidRDefault="005569A2" w:rsidP="00D752D6">
            <w:pPr>
              <w:rPr>
                <w:sz w:val="18"/>
                <w:szCs w:val="18"/>
              </w:rPr>
            </w:pPr>
            <w:r w:rsidRPr="00F64ABA">
              <w:rPr>
                <w:sz w:val="18"/>
                <w:szCs w:val="18"/>
              </w:rPr>
              <w:t>67,212 ± 2,016</w:t>
            </w:r>
          </w:p>
        </w:tc>
        <w:tc>
          <w:tcPr>
            <w:tcW w:w="1812" w:type="dxa"/>
          </w:tcPr>
          <w:p w:rsidR="005569A2" w:rsidRPr="00F64ABA" w:rsidRDefault="005569A2" w:rsidP="00D752D6">
            <w:pPr>
              <w:rPr>
                <w:sz w:val="18"/>
                <w:szCs w:val="18"/>
              </w:rPr>
            </w:pPr>
            <w:r w:rsidRPr="00F64ABA">
              <w:rPr>
                <w:sz w:val="18"/>
                <w:szCs w:val="18"/>
              </w:rPr>
              <w:t>74,709 ± 2,241</w:t>
            </w:r>
          </w:p>
        </w:tc>
        <w:tc>
          <w:tcPr>
            <w:tcW w:w="1812" w:type="dxa"/>
          </w:tcPr>
          <w:p w:rsidR="005569A2" w:rsidRPr="00F64ABA" w:rsidRDefault="005569A2" w:rsidP="00D752D6">
            <w:pPr>
              <w:rPr>
                <w:sz w:val="18"/>
                <w:szCs w:val="18"/>
              </w:rPr>
            </w:pPr>
            <w:r w:rsidRPr="00F64ABA">
              <w:rPr>
                <w:sz w:val="18"/>
                <w:szCs w:val="18"/>
              </w:rPr>
              <w:t>38,330</w:t>
            </w:r>
          </w:p>
        </w:tc>
        <w:tc>
          <w:tcPr>
            <w:tcW w:w="1812" w:type="dxa"/>
          </w:tcPr>
          <w:p w:rsidR="005569A2" w:rsidRPr="00F64ABA" w:rsidRDefault="005569A2" w:rsidP="00D752D6">
            <w:pPr>
              <w:rPr>
                <w:sz w:val="18"/>
                <w:szCs w:val="18"/>
              </w:rPr>
            </w:pPr>
            <w:r w:rsidRPr="00F64ABA">
              <w:rPr>
                <w:sz w:val="18"/>
                <w:szCs w:val="18"/>
              </w:rPr>
              <w:t>0,981-0,987</w:t>
            </w:r>
          </w:p>
        </w:tc>
      </w:tr>
      <w:tr w:rsidR="005569A2" w:rsidRPr="00F64ABA" w:rsidTr="005569A2">
        <w:tc>
          <w:tcPr>
            <w:tcW w:w="1813" w:type="dxa"/>
          </w:tcPr>
          <w:p w:rsidR="005569A2" w:rsidRPr="00F64ABA" w:rsidRDefault="005569A2" w:rsidP="00D752D6">
            <w:pPr>
              <w:rPr>
                <w:sz w:val="18"/>
                <w:szCs w:val="18"/>
              </w:rPr>
            </w:pPr>
            <w:r w:rsidRPr="00F64ABA">
              <w:rPr>
                <w:sz w:val="18"/>
                <w:szCs w:val="18"/>
              </w:rPr>
              <w:t>F15</w:t>
            </w:r>
          </w:p>
        </w:tc>
        <w:tc>
          <w:tcPr>
            <w:tcW w:w="1813" w:type="dxa"/>
          </w:tcPr>
          <w:p w:rsidR="005569A2" w:rsidRPr="00F64ABA" w:rsidRDefault="005569A2" w:rsidP="00D752D6">
            <w:pPr>
              <w:rPr>
                <w:sz w:val="18"/>
                <w:szCs w:val="18"/>
              </w:rPr>
            </w:pPr>
            <w:r w:rsidRPr="00F64ABA">
              <w:rPr>
                <w:sz w:val="18"/>
                <w:szCs w:val="18"/>
              </w:rPr>
              <w:t>63,478 ± 1,904</w:t>
            </w:r>
          </w:p>
        </w:tc>
        <w:tc>
          <w:tcPr>
            <w:tcW w:w="1812" w:type="dxa"/>
          </w:tcPr>
          <w:p w:rsidR="005569A2" w:rsidRPr="00F64ABA" w:rsidRDefault="005569A2" w:rsidP="00D752D6">
            <w:pPr>
              <w:rPr>
                <w:sz w:val="18"/>
                <w:szCs w:val="18"/>
              </w:rPr>
            </w:pPr>
            <w:r w:rsidRPr="00F64ABA">
              <w:rPr>
                <w:sz w:val="18"/>
                <w:szCs w:val="18"/>
              </w:rPr>
              <w:t>70,559 ± 2,117</w:t>
            </w:r>
          </w:p>
        </w:tc>
        <w:tc>
          <w:tcPr>
            <w:tcW w:w="1812" w:type="dxa"/>
          </w:tcPr>
          <w:p w:rsidR="005569A2" w:rsidRPr="00F64ABA" w:rsidRDefault="005569A2" w:rsidP="00D752D6">
            <w:pPr>
              <w:rPr>
                <w:sz w:val="18"/>
                <w:szCs w:val="18"/>
              </w:rPr>
            </w:pPr>
            <w:r w:rsidRPr="00F64ABA">
              <w:rPr>
                <w:sz w:val="18"/>
                <w:szCs w:val="18"/>
              </w:rPr>
              <w:t>36,433</w:t>
            </w:r>
          </w:p>
        </w:tc>
        <w:tc>
          <w:tcPr>
            <w:tcW w:w="1812" w:type="dxa"/>
          </w:tcPr>
          <w:p w:rsidR="005569A2" w:rsidRPr="00F64ABA" w:rsidRDefault="005569A2" w:rsidP="00D752D6">
            <w:pPr>
              <w:rPr>
                <w:sz w:val="18"/>
                <w:szCs w:val="18"/>
              </w:rPr>
            </w:pPr>
            <w:r w:rsidRPr="00F64ABA">
              <w:rPr>
                <w:sz w:val="18"/>
                <w:szCs w:val="18"/>
              </w:rPr>
              <w:t>0,981-0,987</w:t>
            </w:r>
          </w:p>
        </w:tc>
      </w:tr>
    </w:tbl>
    <w:p w:rsidR="00C450FF" w:rsidRPr="00F64ABA" w:rsidRDefault="00C450FF" w:rsidP="00C450FF">
      <w:pPr>
        <w:pStyle w:val="MDPI31text"/>
        <w:rPr>
          <w:lang w:val="tr-TR"/>
        </w:rPr>
      </w:pPr>
    </w:p>
    <w:p w:rsidR="00CD6D3F" w:rsidRPr="00F64ABA" w:rsidRDefault="0004206C" w:rsidP="00B826F7">
      <w:pPr>
        <w:pStyle w:val="MDPI31text"/>
        <w:spacing w:after="240"/>
        <w:rPr>
          <w:lang w:val="tr-TR"/>
        </w:rPr>
      </w:pPr>
      <w:r w:rsidRPr="00F64ABA">
        <w:t xml:space="preserve"> </w:t>
      </w:r>
      <w:r w:rsidR="00F64ABA">
        <w:t xml:space="preserve"> </w:t>
      </w:r>
      <w:r w:rsidRPr="00F64ABA">
        <w:object w:dxaOrig="7087" w:dyaOrig="4231">
          <v:shape id="_x0000_i1026" type="#_x0000_t75" style="width:354.75pt;height:211.5pt" o:ole="">
            <v:imagedata r:id="rId10" o:title=""/>
          </v:shape>
          <o:OLEObject Type="Embed" ProgID="Prism8.Document" ShapeID="_x0000_i1026" DrawAspect="Content" ObjectID="_1837081502" r:id="rId11"/>
        </w:object>
      </w:r>
      <w:r w:rsidRPr="00F64ABA">
        <w:rPr>
          <w:b/>
          <w:bCs/>
          <w:sz w:val="18"/>
          <w:lang w:val="tr-TR"/>
        </w:rPr>
        <w:t>Figure 2.</w:t>
      </w:r>
      <w:r w:rsidRPr="00F64ABA">
        <w:rPr>
          <w:sz w:val="18"/>
          <w:lang w:val="tr-TR"/>
        </w:rPr>
        <w:t xml:space="preserve"> Time-dependent </w:t>
      </w:r>
      <w:r w:rsidRPr="00F64ABA">
        <w:rPr>
          <w:i/>
          <w:iCs/>
          <w:sz w:val="18"/>
          <w:lang w:val="tr-TR"/>
        </w:rPr>
        <w:t>in vitro</w:t>
      </w:r>
      <w:r w:rsidRPr="00F64ABA">
        <w:rPr>
          <w:sz w:val="18"/>
          <w:lang w:val="tr-TR"/>
        </w:rPr>
        <w:t xml:space="preserve"> cumulative galactose release profiles (%) from the selected formulations in a membrane-based diffusion system over 12 hours. Data are presented as mean ± SD (n = 3).</w:t>
      </w:r>
    </w:p>
    <w:p w:rsidR="00CD6D3F" w:rsidRPr="00F64ABA" w:rsidRDefault="00CD6D3F" w:rsidP="00A2154A">
      <w:pPr>
        <w:pStyle w:val="MDPI31text"/>
        <w:rPr>
          <w:lang w:val="tr-TR"/>
        </w:rPr>
      </w:pPr>
      <w:r w:rsidRPr="00F64ABA">
        <w:rPr>
          <w:lang w:val="tr-TR"/>
        </w:rPr>
        <w:t>IVRT is widely recognized as a discriminatory performance test for semisolid matrices, utilizing linear release kinetics within a designated time window as a primary criterion for suitability [42–44]. In this context, the observed rank order suggests that PG, acting as a more hydrophilic cosolvent, can accelerate the apparent release rate. In contrast, IPM retards the release by establishing a more structured lipophilic phase.</w:t>
      </w:r>
    </w:p>
    <w:p w:rsidR="007713AF" w:rsidRPr="00F64ABA" w:rsidRDefault="003C4625" w:rsidP="00517440">
      <w:pPr>
        <w:pStyle w:val="MDPI21heading1"/>
      </w:pPr>
      <w:r w:rsidRPr="00F64ABA">
        <w:t>3</w:t>
      </w:r>
      <w:r w:rsidR="007713AF" w:rsidRPr="00F64ABA">
        <w:t>. Discussion</w:t>
      </w:r>
    </w:p>
    <w:p w:rsidR="00F95BCC" w:rsidRPr="00F64ABA" w:rsidRDefault="00F95BCC" w:rsidP="00F95BCC">
      <w:pPr>
        <w:pStyle w:val="MDPI31text"/>
        <w:rPr>
          <w:lang w:val="tr-TR"/>
        </w:rPr>
      </w:pPr>
      <w:r w:rsidRPr="00F64ABA">
        <w:rPr>
          <w:lang w:val="tr-TR"/>
        </w:rPr>
        <w:t>The diagnosis of AD occurring early in life is frequently followed by conditions such as food allergies, asthma, and allergic rhinitis; a progression fundamentally recognized as the "atopic march". AD, serving as an indicator of widespread disturbances in immunological mechanisms and skin barrier functions, is showing an increasing prevalence in the pediatric population. Findings from both animal experiments and clinical trials imply that the surge in childhood AD incidence may be linked to antibiotic exposure. Infancy is a critical temporal window where numerous biological systems undergo rapid development, and the gut microbiota matures and diversifies. Disruptions to the microbiota during this phase are often associated with long-term health issues well beyond infancy [4].</w:t>
      </w:r>
    </w:p>
    <w:p w:rsidR="00F95BCC" w:rsidRPr="00F64ABA" w:rsidRDefault="00F95BCC" w:rsidP="00F95BCC">
      <w:pPr>
        <w:pStyle w:val="MDPI31text"/>
        <w:rPr>
          <w:lang w:val="tr-TR"/>
        </w:rPr>
      </w:pPr>
      <w:r w:rsidRPr="00F64ABA">
        <w:rPr>
          <w:lang w:val="tr-TR"/>
        </w:rPr>
        <w:t xml:space="preserve">One of the primary microbiota alterations observed in children subsequent to antibiotic exposure is the depletion of the </w:t>
      </w:r>
      <w:r w:rsidRPr="00F64ABA">
        <w:rPr>
          <w:i/>
          <w:iCs/>
          <w:lang w:val="tr-TR"/>
        </w:rPr>
        <w:t>Bifidobacterium</w:t>
      </w:r>
      <w:r w:rsidRPr="00F64ABA">
        <w:rPr>
          <w:lang w:val="tr-TR"/>
        </w:rPr>
        <w:t xml:space="preserve"> population. </w:t>
      </w:r>
      <w:r w:rsidRPr="00F64ABA">
        <w:rPr>
          <w:i/>
          <w:iCs/>
          <w:lang w:val="tr-TR"/>
        </w:rPr>
        <w:t>Bifidobacterium</w:t>
      </w:r>
      <w:r w:rsidRPr="00F64ABA">
        <w:rPr>
          <w:lang w:val="tr-TR"/>
        </w:rPr>
        <w:t xml:space="preserve"> species, </w:t>
      </w:r>
      <w:r w:rsidRPr="00F64ABA">
        <w:rPr>
          <w:lang w:val="tr-TR"/>
        </w:rPr>
        <w:lastRenderedPageBreak/>
        <w:t xml:space="preserve">which play a central role in the degradation of human milk oligosaccharides, are foundational components of the early-life gut microbiota [4]. Amoxicillin and azithromycin are among the most frequently utilized antibiotics for premature infants in neonatal intensive care units. Postnatal empirical antibiotic regimens predominantly consist of intravenous amoxicillin and/or gentamicin combinations. It has been reported that this regimen can lead to a significant reduction or even temporary eradication of </w:t>
      </w:r>
      <w:r w:rsidRPr="00F64ABA">
        <w:rPr>
          <w:i/>
          <w:iCs/>
          <w:lang w:val="tr-TR"/>
        </w:rPr>
        <w:t>Bifidobacterium</w:t>
      </w:r>
      <w:r w:rsidRPr="00F64ABA">
        <w:rPr>
          <w:lang w:val="tr-TR"/>
        </w:rPr>
        <w:t xml:space="preserve"> species. Nevertheless, because the population can largely recover within approximately 30 days post-treatment, amoxicillin is considered relatively "microbiota-friendly". Conversely, azithromycin, a macrolide antibiotic, is reported to cause prolonged reductions in </w:t>
      </w:r>
      <w:r w:rsidRPr="00F64ABA">
        <w:rPr>
          <w:i/>
          <w:iCs/>
          <w:lang w:val="tr-TR"/>
        </w:rPr>
        <w:t>Bifidobacterium</w:t>
      </w:r>
      <w:r w:rsidRPr="00F64ABA">
        <w:rPr>
          <w:lang w:val="tr-TR"/>
        </w:rPr>
        <w:t xml:space="preserve"> species and exhibits a strong association with childhood asthma, obesity, and AD [55,56]. In our study, both utilized antibiotics exhibited bactericidal effects on the tested probiotic strains.</w:t>
      </w:r>
    </w:p>
    <w:p w:rsidR="00F95BCC" w:rsidRPr="00F64ABA" w:rsidRDefault="00F95BCC" w:rsidP="00F95BCC">
      <w:pPr>
        <w:pStyle w:val="MDPI31text"/>
        <w:rPr>
          <w:lang w:val="tr-TR"/>
        </w:rPr>
      </w:pPr>
      <w:r w:rsidRPr="00F64ABA">
        <w:rPr>
          <w:lang w:val="tr-TR"/>
        </w:rPr>
        <w:t xml:space="preserve">GA is a prebiotic dietary fiber capable of being selectively fermented by lactobacilli and bifidobacteria into short-chain fatty acids [57]. Alhssan et al. [58] demonstrated that the addition of flaxseed mucilage and GA to kefir significantly (p &lt; 0.05) enhanced the growth of </w:t>
      </w:r>
      <w:r w:rsidRPr="00F64ABA">
        <w:rPr>
          <w:i/>
          <w:iCs/>
          <w:lang w:val="tr-TR"/>
        </w:rPr>
        <w:t>Lactobacillus acidophilus</w:t>
      </w:r>
      <w:r w:rsidRPr="00F64ABA">
        <w:rPr>
          <w:lang w:val="tr-TR"/>
        </w:rPr>
        <w:t xml:space="preserve"> and </w:t>
      </w:r>
      <w:r w:rsidRPr="00F64ABA">
        <w:rPr>
          <w:i/>
          <w:iCs/>
          <w:lang w:val="tr-TR"/>
        </w:rPr>
        <w:t>Bifidobacterium lactis</w:t>
      </w:r>
      <w:r w:rsidRPr="00F64ABA">
        <w:rPr>
          <w:lang w:val="tr-TR"/>
        </w:rPr>
        <w:t xml:space="preserve">. Cherbut et al. [59] observed that a daily consumption of 10–15 g of GA resulted in an increase in </w:t>
      </w:r>
      <w:r w:rsidRPr="00F64ABA">
        <w:rPr>
          <w:i/>
          <w:iCs/>
          <w:lang w:val="tr-TR"/>
        </w:rPr>
        <w:t>Bifidobacterium</w:t>
      </w:r>
      <w:r w:rsidRPr="00F64ABA">
        <w:rPr>
          <w:lang w:val="tr-TR"/>
        </w:rPr>
        <w:t xml:space="preserve"> and lactic acid-producing bacteria after 10 days. Similarly, Calame et al. [60] showed that a 4-week daily consumption of 10 g of GA yielded higher </w:t>
      </w:r>
      <w:r w:rsidRPr="00F64ABA">
        <w:rPr>
          <w:i/>
          <w:iCs/>
          <w:lang w:val="tr-TR"/>
        </w:rPr>
        <w:t>Bifidobacterium</w:t>
      </w:r>
      <w:r w:rsidRPr="00F64ABA">
        <w:rPr>
          <w:lang w:val="tr-TR"/>
        </w:rPr>
        <w:t xml:space="preserve"> and </w:t>
      </w:r>
      <w:r w:rsidRPr="00F64ABA">
        <w:rPr>
          <w:i/>
          <w:iCs/>
          <w:lang w:val="tr-TR"/>
        </w:rPr>
        <w:t>Lactobacillus</w:t>
      </w:r>
      <w:r w:rsidRPr="00F64ABA">
        <w:rPr>
          <w:lang w:val="tr-TR"/>
        </w:rPr>
        <w:t xml:space="preserve"> counts in fecal samples compared to inulin. Moreover, Ahallil et al. [30] revealed that in an </w:t>
      </w:r>
      <w:r w:rsidRPr="00F64ABA">
        <w:rPr>
          <w:i/>
          <w:iCs/>
          <w:lang w:val="tr-TR"/>
        </w:rPr>
        <w:t>in vitro</w:t>
      </w:r>
      <w:r w:rsidRPr="00F64ABA">
        <w:rPr>
          <w:lang w:val="tr-TR"/>
        </w:rPr>
        <w:t xml:space="preserve"> colon model, GA fermentation increased </w:t>
      </w:r>
      <w:r w:rsidRPr="00F64ABA">
        <w:rPr>
          <w:i/>
          <w:iCs/>
          <w:lang w:val="tr-TR"/>
        </w:rPr>
        <w:t>Bifidobacterium</w:t>
      </w:r>
      <w:r w:rsidRPr="00F64ABA">
        <w:rPr>
          <w:lang w:val="tr-TR"/>
        </w:rPr>
        <w:t xml:space="preserve"> growth while simultaneously decreasing </w:t>
      </w:r>
      <w:r w:rsidRPr="00F64ABA">
        <w:rPr>
          <w:i/>
          <w:iCs/>
          <w:lang w:val="tr-TR"/>
        </w:rPr>
        <w:t>Clostridium</w:t>
      </w:r>
      <w:r w:rsidRPr="00F64ABA">
        <w:rPr>
          <w:lang w:val="tr-TR"/>
        </w:rPr>
        <w:t xml:space="preserve"> species.</w:t>
      </w:r>
    </w:p>
    <w:p w:rsidR="00F95BCC" w:rsidRPr="00F64ABA" w:rsidRDefault="00F95BCC" w:rsidP="00F95BCC">
      <w:pPr>
        <w:pStyle w:val="MDPI31text"/>
        <w:rPr>
          <w:lang w:val="tr-TR"/>
        </w:rPr>
      </w:pPr>
      <w:r w:rsidRPr="00F64ABA">
        <w:rPr>
          <w:i/>
          <w:iCs/>
          <w:lang w:val="tr-TR"/>
        </w:rPr>
        <w:t>Bifidobacterium bifidum</w:t>
      </w:r>
      <w:r w:rsidRPr="00F64ABA">
        <w:rPr>
          <w:lang w:val="tr-TR"/>
        </w:rPr>
        <w:t xml:space="preserve"> and </w:t>
      </w:r>
      <w:r w:rsidRPr="00F64ABA">
        <w:rPr>
          <w:i/>
          <w:iCs/>
          <w:lang w:val="tr-TR"/>
        </w:rPr>
        <w:t>Bifidobacterium infantis</w:t>
      </w:r>
      <w:r w:rsidRPr="00F64ABA">
        <w:rPr>
          <w:lang w:val="tr-TR"/>
        </w:rPr>
        <w:t xml:space="preserve"> were included in this study as they are natural residents of the infant gut microbiota [61]. Consistent with the literature, our findings demonstrated the prebiotic activity of GA on both species. Crucially, at the tested concentrations, GA was observed to protect </w:t>
      </w:r>
      <w:r w:rsidRPr="00F64ABA">
        <w:rPr>
          <w:i/>
          <w:iCs/>
          <w:lang w:val="tr-TR"/>
        </w:rPr>
        <w:t>B. infantis</w:t>
      </w:r>
      <w:r w:rsidRPr="00F64ABA">
        <w:rPr>
          <w:lang w:val="tr-TR"/>
        </w:rPr>
        <w:t xml:space="preserve"> against the inhibitory effects of azithromycin. Although amoxicillin is deemed relatively microbiota-friendly, GA's ability to shield </w:t>
      </w:r>
      <w:r w:rsidRPr="00F64ABA">
        <w:rPr>
          <w:i/>
          <w:iCs/>
          <w:lang w:val="tr-TR"/>
        </w:rPr>
        <w:t>B. infantis</w:t>
      </w:r>
      <w:r w:rsidRPr="00F64ABA">
        <w:rPr>
          <w:lang w:val="tr-TR"/>
        </w:rPr>
        <w:t xml:space="preserve"> from azithromycin—an antibiotic considered potentially more detrimental to the microbiota—is a particularly noteworthy finding.</w:t>
      </w:r>
    </w:p>
    <w:p w:rsidR="00F95BCC" w:rsidRPr="00F64ABA" w:rsidRDefault="00F95BCC" w:rsidP="00F95BCC">
      <w:pPr>
        <w:pStyle w:val="MDPI31text"/>
        <w:rPr>
          <w:lang w:val="tr-TR"/>
        </w:rPr>
      </w:pPr>
      <w:r w:rsidRPr="00F64ABA">
        <w:rPr>
          <w:i/>
          <w:iCs/>
          <w:lang w:val="tr-TR"/>
        </w:rPr>
        <w:t>Lactobacillus casei</w:t>
      </w:r>
      <w:r w:rsidRPr="00F64ABA">
        <w:rPr>
          <w:lang w:val="tr-TR"/>
        </w:rPr>
        <w:t xml:space="preserve"> is a probiotic strain with documented positive effects in pediatric AD cases. Klewicka et al. [62] reported that </w:t>
      </w:r>
      <w:r w:rsidRPr="00F64ABA">
        <w:rPr>
          <w:i/>
          <w:iCs/>
          <w:lang w:val="tr-TR"/>
        </w:rPr>
        <w:t>L. casei</w:t>
      </w:r>
      <w:r w:rsidRPr="00F64ABA">
        <w:rPr>
          <w:lang w:val="tr-TR"/>
        </w:rPr>
        <w:t xml:space="preserve"> DN–114001 supplementation in AD-diagnosed children aged 6–18 months produced favorable effects on the gut microbiota, particularly concerning bifidobacteria and clostridia populations. A meta-analysis conducted by Tan-Lim et al. [63] also highlighted the potential benefit of </w:t>
      </w:r>
      <w:r w:rsidRPr="00F64ABA">
        <w:rPr>
          <w:i/>
          <w:iCs/>
          <w:lang w:val="tr-TR"/>
        </w:rPr>
        <w:t>L. casei</w:t>
      </w:r>
      <w:r w:rsidRPr="00F64ABA">
        <w:rPr>
          <w:lang w:val="tr-TR"/>
        </w:rPr>
        <w:t xml:space="preserve"> in alleviating allergic symptoms in pediatric AD patients, justifying its inclusion in our study. Our findings revealed that media supplemented with 2% and 3% (w/v) GA induced a logarithmically significant increase in </w:t>
      </w:r>
      <w:r w:rsidRPr="00F64ABA">
        <w:rPr>
          <w:i/>
          <w:iCs/>
          <w:lang w:val="tr-TR"/>
        </w:rPr>
        <w:t>L. casei</w:t>
      </w:r>
      <w:r w:rsidRPr="00F64ABA">
        <w:rPr>
          <w:lang w:val="tr-TR"/>
        </w:rPr>
        <w:t xml:space="preserve">. However, in antibiotic-containing media supplemented with GA, the prebiotic was unable to protect </w:t>
      </w:r>
      <w:r w:rsidRPr="00F64ABA">
        <w:rPr>
          <w:i/>
          <w:iCs/>
          <w:lang w:val="tr-TR"/>
        </w:rPr>
        <w:t>L. casei</w:t>
      </w:r>
      <w:r w:rsidRPr="00F64ABA">
        <w:rPr>
          <w:lang w:val="tr-TR"/>
        </w:rPr>
        <w:t xml:space="preserve"> from the bactericidal effects of the antibiotics.</w:t>
      </w:r>
    </w:p>
    <w:p w:rsidR="00F95BCC" w:rsidRPr="00F64ABA" w:rsidRDefault="00F95BCC" w:rsidP="00F95BCC">
      <w:pPr>
        <w:pStyle w:val="MDPI31text"/>
        <w:rPr>
          <w:lang w:val="tr-TR"/>
        </w:rPr>
      </w:pPr>
      <w:r w:rsidRPr="00F64ABA">
        <w:rPr>
          <w:i/>
          <w:iCs/>
          <w:lang w:val="tr-TR"/>
        </w:rPr>
        <w:t>Staphylococcus aureus</w:t>
      </w:r>
      <w:r w:rsidRPr="00F64ABA">
        <w:rPr>
          <w:lang w:val="tr-TR"/>
        </w:rPr>
        <w:t xml:space="preserve"> is a pathogen exerting a prominent role in AD pathogenesis. In a study evaluating various extracts of Omani and Sudanese GA via disk diffusion, Al Alawi et al. [28] noted that the lowest antibacterial activity against </w:t>
      </w:r>
      <w:r w:rsidRPr="00F64ABA">
        <w:rPr>
          <w:i/>
          <w:iCs/>
          <w:lang w:val="tr-TR"/>
        </w:rPr>
        <w:t>S. aureus</w:t>
      </w:r>
      <w:r w:rsidRPr="00F64ABA">
        <w:rPr>
          <w:lang w:val="tr-TR"/>
        </w:rPr>
        <w:t xml:space="preserve"> (Code No: 659) was exhibited by the n-butanol extract. In the present study, 1%, 2%, and 3% (w/v) GA alone did not demonstrate pronounced antibacterial activity against </w:t>
      </w:r>
      <w:r w:rsidRPr="00F64ABA">
        <w:rPr>
          <w:i/>
          <w:iCs/>
          <w:lang w:val="tr-TR"/>
        </w:rPr>
        <w:t>S. aureus</w:t>
      </w:r>
      <w:r w:rsidRPr="00F64ABA">
        <w:rPr>
          <w:lang w:val="tr-TR"/>
        </w:rPr>
        <w:t xml:space="preserve">. Nevertheless, a numerical reduction in the </w:t>
      </w:r>
      <w:r w:rsidRPr="00F64ABA">
        <w:rPr>
          <w:i/>
          <w:iCs/>
          <w:lang w:val="tr-TR"/>
        </w:rPr>
        <w:t>S. aureus</w:t>
      </w:r>
      <w:r w:rsidRPr="00F64ABA">
        <w:rPr>
          <w:lang w:val="tr-TR"/>
        </w:rPr>
        <w:t xml:space="preserve"> population was observed in GA-supplemented media containing antibiotics compared to media containing antibiotics alone. Furthermore, we established that while </w:t>
      </w:r>
      <w:r w:rsidRPr="00F64ABA">
        <w:rPr>
          <w:i/>
          <w:iCs/>
          <w:lang w:val="tr-TR"/>
        </w:rPr>
        <w:t>S. aureus</w:t>
      </w:r>
      <w:r w:rsidRPr="00F64ABA">
        <w:rPr>
          <w:lang w:val="tr-TR"/>
        </w:rPr>
        <w:t xml:space="preserve"> developed resistance against azithromycin and amoxicillin, the introduction of GA mitigated this resistance. The highest contribution to the inhibitory efficacy of both antibiotics was observed at the 2% (w/v) GA concentration. Al-Behadliy et al. [3] reported that the inhibition zone diameter against </w:t>
      </w:r>
      <w:r w:rsidRPr="00F64ABA">
        <w:rPr>
          <w:i/>
          <w:iCs/>
          <w:lang w:val="tr-TR"/>
        </w:rPr>
        <w:t>S. aureus</w:t>
      </w:r>
      <w:r w:rsidRPr="00F64ABA">
        <w:rPr>
          <w:lang w:val="tr-TR"/>
        </w:rPr>
        <w:t xml:space="preserve"> isolates </w:t>
      </w:r>
      <w:r w:rsidRPr="00F64ABA">
        <w:rPr>
          <w:lang w:val="tr-TR"/>
        </w:rPr>
        <w:lastRenderedPageBreak/>
        <w:t>expanded in parallel with the concentration of GA aqueous extract, establishing a minimum inhibitory concentration (MIC) of 40 mg/mL. The lack of a direct inhibitory effect in our study can likely be attributed to the applied concentrations falling below the MIC value reported in the literature.</w:t>
      </w:r>
    </w:p>
    <w:p w:rsidR="00F95BCC" w:rsidRPr="00F64ABA" w:rsidRDefault="00F95BCC" w:rsidP="00F95BCC">
      <w:pPr>
        <w:pStyle w:val="MDPI31text"/>
        <w:rPr>
          <w:lang w:val="tr-TR"/>
        </w:rPr>
      </w:pPr>
      <w:r w:rsidRPr="00F64ABA">
        <w:rPr>
          <w:lang w:val="tr-TR"/>
        </w:rPr>
        <w:t>The primary aim of the translational phase in this study was to link the GA concentration window highlighted in the microbiological findings (specifically 1–2%) to a real-world, viable pharmaceutical carrier system. In the main experimental set, the inability to acquire readings ('ND' finding) under 3–5% GA conditions due to excessive media softness demonstrated that GA significantly alters not only biological but also physical matrix behaviors. Consequently, GA-HPC-based systems were designed under PG and IPM blocks (DoE) and subjected to discriminative selection via rheological and kinetic screening. For optimal topical performance, the desired rheological profile combines a low-shear viscosity that supports formulation residence on the application site with a marked viscosity reduction that facilitates spreadability during rubbing. The shear-thinning behavior observed across all candidates during rheological screening confirms the successful attainment of this "remain at rest, spread upon application" profile targeted in semisolid products [50]. Within this framework, systems containing 7% IPM (F14 and F15) generated higher structures at low shear, striking an optimal balance between application-site retention and high-shear spreadability. Conversely, the PG-based series (F6) displayed more constrained shear-dependent viscosity shifts compared to the lipophilic character of IPM. This does not indicate poor PG performance but rather demonstrates its role in supporting diffusion behavior as a hydrophilic cosolvent that modulates the aqueous phase. In both carrier blocks, the intermediate (2–3%) GA concentration provided the most ideal structural response under current manufacturing conditions.</w:t>
      </w:r>
    </w:p>
    <w:p w:rsidR="007713AF" w:rsidRPr="00F64ABA" w:rsidRDefault="00F95BCC" w:rsidP="00F95BCC">
      <w:pPr>
        <w:pStyle w:val="MDPI31text"/>
      </w:pPr>
      <w:r w:rsidRPr="00F64ABA">
        <w:rPr>
          <w:lang w:val="tr-TR"/>
        </w:rPr>
        <w:t xml:space="preserve">From an analytical and pharmacokinetic standpoint, utilizing galactose—the major building block—as a marker instead of the intact GA polymer integrity during IVRT processes is an entirely rational approach [51]. The subsequent PMP derivatization following polymer hydrolysis permitted the high-sensitivity quantification of free monosaccharides within the HPLC system [53]. Nonetheless, validating method robustness is analytically critical, given the profound impact of hydrolysis conditions on sugar recovery and potential degradation [52]. An analysis of the kinetic data revealed that the formulations modulated galactose release systematically in the order of F6 &gt; F10 &gt; F14 &gt; F15. The faster galactose release exhibited specifically by the F6 formulation containing 10% PG aligns with the hydrophilic cosolvent's role in enhancing intra-matrix liberation. Previous literature on diffusion cells similarly indicates that agents like PG and IPM can alter transport behaviors from gel matrices, and synthetic membrane transport can be accurately described by the Higuchi model [54]. Ultimately, IVRT is not a direct surrogate for clinical efficacy; rather, it is an </w:t>
      </w:r>
      <w:r w:rsidRPr="00F64ABA">
        <w:rPr>
          <w:i/>
          <w:iCs/>
          <w:lang w:val="tr-TR"/>
        </w:rPr>
        <w:t>in vitro</w:t>
      </w:r>
      <w:r w:rsidRPr="00F64ABA">
        <w:rPr>
          <w:lang w:val="tr-TR"/>
        </w:rPr>
        <w:t xml:space="preserve"> tool utilized for discriminatory quality-performance comparisons among semisolid carriers. Therefore, the findings should be interpreted within the guidelines recommended by the FDA and USP (specifically targeting linear release within the 4–6 hour window) [42–44]. The robust R² values and stable kinetic data obtained herein prove that the designed GA-based smart formulations can predictably and controllably deliver both the encapsulated antibiotic and the prebiotic to the target tissue. This translational arm has successfully provided a rational candidate selection for subsequent phase studies (including IVPT via Franz diffusion cells, biofilm/co-culture models, and simultaneous monitoring of antibiotic release and GA-markers)</w:t>
      </w:r>
      <w:r w:rsidR="007713AF" w:rsidRPr="00F64ABA">
        <w:t>.</w:t>
      </w:r>
    </w:p>
    <w:p w:rsidR="003C4625" w:rsidRPr="00F64ABA" w:rsidRDefault="003C4625" w:rsidP="00517440">
      <w:pPr>
        <w:pStyle w:val="MDPI21heading1"/>
      </w:pPr>
      <w:r w:rsidRPr="00F64ABA">
        <w:rPr>
          <w:lang w:eastAsia="zh-CN"/>
        </w:rPr>
        <w:t xml:space="preserve">4. </w:t>
      </w:r>
      <w:r w:rsidRPr="00F64ABA">
        <w:t>Materials and Methods</w:t>
      </w:r>
    </w:p>
    <w:p w:rsidR="00A218B7" w:rsidRPr="00F64ABA" w:rsidRDefault="00A218B7" w:rsidP="00A218B7">
      <w:pPr>
        <w:pStyle w:val="MDPI21heading1"/>
        <w:rPr>
          <w:b w:val="0"/>
          <w:sz w:val="20"/>
          <w:szCs w:val="20"/>
        </w:rPr>
      </w:pPr>
      <w:r w:rsidRPr="00F64ABA">
        <w:rPr>
          <w:b w:val="0"/>
          <w:bCs/>
          <w:i/>
          <w:sz w:val="20"/>
          <w:szCs w:val="20"/>
          <w:lang w:val="tr-TR"/>
        </w:rPr>
        <w:t>4.1. Microorganisms and Culture Conditions</w:t>
      </w:r>
    </w:p>
    <w:p w:rsidR="00A218B7" w:rsidRPr="00F64ABA" w:rsidRDefault="00A218B7" w:rsidP="00A218B7">
      <w:pPr>
        <w:pStyle w:val="MDPI31text"/>
        <w:rPr>
          <w:lang w:val="tr-TR"/>
        </w:rPr>
      </w:pPr>
      <w:r w:rsidRPr="00F64ABA">
        <w:rPr>
          <w:lang w:val="tr-TR"/>
        </w:rPr>
        <w:lastRenderedPageBreak/>
        <w:t xml:space="preserve">In this study, the modulatory effects of GA on dysbiosis were tested </w:t>
      </w:r>
      <w:r w:rsidRPr="00F64ABA">
        <w:rPr>
          <w:i/>
          <w:iCs/>
          <w:lang w:val="tr-TR"/>
        </w:rPr>
        <w:t>in vitro</w:t>
      </w:r>
      <w:r w:rsidRPr="00F64ABA">
        <w:rPr>
          <w:lang w:val="tr-TR"/>
        </w:rPr>
        <w:t xml:space="preserve"> using AD-associated probiotic strains </w:t>
      </w:r>
      <w:r w:rsidRPr="00F64ABA">
        <w:rPr>
          <w:i/>
          <w:iCs/>
          <w:lang w:val="tr-TR"/>
        </w:rPr>
        <w:t>Lactobacillus casei</w:t>
      </w:r>
      <w:r w:rsidRPr="00F64ABA">
        <w:rPr>
          <w:lang w:val="tr-TR"/>
        </w:rPr>
        <w:t xml:space="preserve"> ATA-LCC98073, </w:t>
      </w:r>
      <w:r w:rsidRPr="00F64ABA">
        <w:rPr>
          <w:i/>
          <w:iCs/>
          <w:lang w:val="tr-TR"/>
        </w:rPr>
        <w:t>Bifidobacterium bifidum</w:t>
      </w:r>
      <w:r w:rsidRPr="00F64ABA">
        <w:rPr>
          <w:lang w:val="tr-TR"/>
        </w:rPr>
        <w:t xml:space="preserve"> ATA-BSP1709, and </w:t>
      </w:r>
      <w:r w:rsidRPr="00F64ABA">
        <w:rPr>
          <w:i/>
          <w:iCs/>
          <w:lang w:val="tr-TR"/>
        </w:rPr>
        <w:t>Bifidobacterium infantis</w:t>
      </w:r>
      <w:r w:rsidRPr="00F64ABA">
        <w:rPr>
          <w:lang w:val="tr-TR"/>
        </w:rPr>
        <w:t xml:space="preserve"> ATA-BSI17094, alongside the pathogenic </w:t>
      </w:r>
      <w:r w:rsidRPr="00F64ABA">
        <w:rPr>
          <w:i/>
          <w:iCs/>
          <w:lang w:val="tr-TR"/>
        </w:rPr>
        <w:t>Staphylococcus aureus</w:t>
      </w:r>
      <w:r w:rsidRPr="00F64ABA">
        <w:rPr>
          <w:lang w:val="tr-TR"/>
        </w:rPr>
        <w:t xml:space="preserve"> ATCC 29213 strain. The experimental design was structured to determine the inhibitory impacts of widely used pediatric antibiotics, such as amoxicillin and azithromycin, and the protective role of GA during this process. All strains were preserved in 20% glycerol at -80 °C until required. Prior to the experiments, stock probiotic strains were inoculated onto De Man-Rogosa-Sharpe (MRS) agar and activated at 37 °C for 48 hours. </w:t>
      </w:r>
      <w:r w:rsidRPr="00F64ABA">
        <w:rPr>
          <w:i/>
          <w:iCs/>
          <w:lang w:val="tr-TR"/>
        </w:rPr>
        <w:t>S. aureus</w:t>
      </w:r>
      <w:r w:rsidRPr="00F64ABA">
        <w:rPr>
          <w:lang w:val="tr-TR"/>
        </w:rPr>
        <w:t xml:space="preserve"> was inoculated onto Nutrient Agar (NA) and activated at 37 °C for 24 hours.</w:t>
      </w:r>
    </w:p>
    <w:p w:rsidR="0000644F" w:rsidRPr="00F64ABA" w:rsidRDefault="0000644F" w:rsidP="0000644F">
      <w:pPr>
        <w:pStyle w:val="MDPI21heading1"/>
        <w:rPr>
          <w:b w:val="0"/>
          <w:sz w:val="20"/>
          <w:szCs w:val="20"/>
        </w:rPr>
      </w:pPr>
      <w:r w:rsidRPr="00F64ABA">
        <w:rPr>
          <w:b w:val="0"/>
          <w:bCs/>
          <w:i/>
          <w:sz w:val="20"/>
          <w:szCs w:val="20"/>
          <w:lang w:val="tr-TR"/>
        </w:rPr>
        <w:t>4.2. Antibiotics and Concentrations</w:t>
      </w:r>
    </w:p>
    <w:p w:rsidR="0076393F" w:rsidRPr="00F64ABA" w:rsidRDefault="0076393F" w:rsidP="0076393F">
      <w:pPr>
        <w:pStyle w:val="MDPI31text"/>
        <w:rPr>
          <w:lang w:val="tr-TR"/>
        </w:rPr>
      </w:pPr>
      <w:r w:rsidRPr="00F64ABA">
        <w:rPr>
          <w:lang w:val="tr-TR"/>
        </w:rPr>
        <w:t>Amoxicillin and azithromycin were selected as the model antibiotics for the study [39,40]. The specified antibiotic concentrations for the respective strains were as follows:</w:t>
      </w:r>
    </w:p>
    <w:p w:rsidR="0076393F" w:rsidRPr="00F64ABA" w:rsidRDefault="0076393F" w:rsidP="0076393F">
      <w:pPr>
        <w:pStyle w:val="MDPI31text"/>
        <w:numPr>
          <w:ilvl w:val="0"/>
          <w:numId w:val="25"/>
        </w:numPr>
        <w:rPr>
          <w:lang w:val="tr-TR"/>
        </w:rPr>
      </w:pPr>
      <w:r w:rsidRPr="00F64ABA">
        <w:rPr>
          <w:lang w:val="tr-TR"/>
        </w:rPr>
        <w:t xml:space="preserve">For </w:t>
      </w:r>
      <w:r w:rsidRPr="00F64ABA">
        <w:rPr>
          <w:i/>
          <w:lang w:val="tr-TR"/>
        </w:rPr>
        <w:t>L. casei</w:t>
      </w:r>
      <w:r w:rsidRPr="00F64ABA">
        <w:rPr>
          <w:lang w:val="tr-TR"/>
        </w:rPr>
        <w:t>: amoxicillin 4 mg/L, azithromycin 1 mg/L.</w:t>
      </w:r>
    </w:p>
    <w:p w:rsidR="0076393F" w:rsidRPr="00F64ABA" w:rsidRDefault="0076393F" w:rsidP="0076393F">
      <w:pPr>
        <w:pStyle w:val="MDPI31text"/>
        <w:numPr>
          <w:ilvl w:val="0"/>
          <w:numId w:val="25"/>
        </w:numPr>
        <w:rPr>
          <w:lang w:val="tr-TR"/>
        </w:rPr>
      </w:pPr>
      <w:r w:rsidRPr="00F64ABA">
        <w:rPr>
          <w:lang w:val="tr-TR"/>
        </w:rPr>
        <w:t xml:space="preserve">For </w:t>
      </w:r>
      <w:r w:rsidRPr="00F64ABA">
        <w:rPr>
          <w:i/>
          <w:lang w:val="tr-TR"/>
        </w:rPr>
        <w:t>B. bifidum</w:t>
      </w:r>
      <w:r w:rsidRPr="00F64ABA">
        <w:rPr>
          <w:lang w:val="tr-TR"/>
        </w:rPr>
        <w:t>: amoxicillin 2 mg/L, azithromycin 1 mg/L.</w:t>
      </w:r>
    </w:p>
    <w:p w:rsidR="0076393F" w:rsidRPr="00F64ABA" w:rsidRDefault="0076393F" w:rsidP="0076393F">
      <w:pPr>
        <w:pStyle w:val="MDPI31text"/>
        <w:numPr>
          <w:ilvl w:val="0"/>
          <w:numId w:val="25"/>
        </w:numPr>
        <w:rPr>
          <w:lang w:val="tr-TR"/>
        </w:rPr>
      </w:pPr>
      <w:r w:rsidRPr="00F64ABA">
        <w:rPr>
          <w:lang w:val="tr-TR"/>
        </w:rPr>
        <w:t xml:space="preserve">For </w:t>
      </w:r>
      <w:r w:rsidRPr="00F64ABA">
        <w:rPr>
          <w:i/>
          <w:lang w:val="tr-TR"/>
        </w:rPr>
        <w:t>B. infantis</w:t>
      </w:r>
      <w:r w:rsidRPr="00F64ABA">
        <w:rPr>
          <w:lang w:val="tr-TR"/>
        </w:rPr>
        <w:t>: amoxicillin 2 mg/L, azithromycin 1 mg/L.</w:t>
      </w:r>
    </w:p>
    <w:p w:rsidR="0076393F" w:rsidRPr="00F64ABA" w:rsidRDefault="0076393F" w:rsidP="0076393F">
      <w:pPr>
        <w:pStyle w:val="MDPI31text"/>
        <w:numPr>
          <w:ilvl w:val="0"/>
          <w:numId w:val="25"/>
        </w:numPr>
        <w:rPr>
          <w:lang w:val="tr-TR"/>
        </w:rPr>
      </w:pPr>
      <w:r w:rsidRPr="00F64ABA">
        <w:rPr>
          <w:lang w:val="tr-TR"/>
        </w:rPr>
        <w:t xml:space="preserve">For </w:t>
      </w:r>
      <w:r w:rsidRPr="00F64ABA">
        <w:rPr>
          <w:i/>
          <w:lang w:val="tr-TR"/>
        </w:rPr>
        <w:t>S. aureus</w:t>
      </w:r>
      <w:r w:rsidRPr="00F64ABA">
        <w:rPr>
          <w:lang w:val="tr-TR"/>
        </w:rPr>
        <w:t>: amoxicillin 4 mg/L, azithromycin 1 mg/L.</w:t>
      </w:r>
    </w:p>
    <w:p w:rsidR="0000644F" w:rsidRPr="00F64ABA" w:rsidRDefault="008F630B" w:rsidP="0000644F">
      <w:pPr>
        <w:pStyle w:val="MDPI21heading1"/>
        <w:rPr>
          <w:b w:val="0"/>
          <w:sz w:val="20"/>
          <w:szCs w:val="20"/>
        </w:rPr>
      </w:pPr>
      <w:r w:rsidRPr="00F64ABA">
        <w:rPr>
          <w:b w:val="0"/>
          <w:bCs/>
          <w:i/>
          <w:sz w:val="20"/>
          <w:szCs w:val="20"/>
          <w:lang w:val="tr-TR"/>
        </w:rPr>
        <w:t>4.3. Preparation of Gum Arabic and Culture Media</w:t>
      </w:r>
    </w:p>
    <w:p w:rsidR="0000644F" w:rsidRPr="00F64ABA" w:rsidRDefault="00337417" w:rsidP="0000644F">
      <w:pPr>
        <w:pStyle w:val="MDPI31text"/>
        <w:rPr>
          <w:lang w:val="tr-TR"/>
        </w:rPr>
      </w:pPr>
      <w:r w:rsidRPr="00F64ABA">
        <w:rPr>
          <w:lang w:val="tr-TR"/>
        </w:rPr>
        <w:t xml:space="preserve">Fifty grams of powdered GA (Akavital/Ankara/Türkiye) was dissolved in 100 mL of sterile distilled water to achieve a final extract concentration of 50% (w/v). To ensure complete extraction, the solution was incubated in a sealed Erlenmeyer flask for 24 hours, after which the obtained extract was sterilized via filtration. Subsequent dilutions at 1%, 2%, 3%, and 5% (w/v) were prepared from this stock solution [3]. The basal media utilized in the study were established as De Man-Rogosa-Sharpe agar (MRS; Condalab, Madrid, Spain) for the </w:t>
      </w:r>
      <w:r w:rsidRPr="00F64ABA">
        <w:rPr>
          <w:i/>
          <w:iCs/>
          <w:lang w:val="tr-TR"/>
        </w:rPr>
        <w:t>L. casei</w:t>
      </w:r>
      <w:r w:rsidRPr="00F64ABA">
        <w:rPr>
          <w:lang w:val="tr-TR"/>
        </w:rPr>
        <w:t xml:space="preserve"> strain, Brain Heart Infusion agar (BHI; Condalab, Madrid, Spain) for </w:t>
      </w:r>
      <w:r w:rsidRPr="00F64ABA">
        <w:rPr>
          <w:i/>
          <w:iCs/>
          <w:lang w:val="tr-TR"/>
        </w:rPr>
        <w:t>B. bifidum</w:t>
      </w:r>
      <w:r w:rsidRPr="00F64ABA">
        <w:rPr>
          <w:lang w:val="tr-TR"/>
        </w:rPr>
        <w:t xml:space="preserve"> and </w:t>
      </w:r>
      <w:r w:rsidRPr="00F64ABA">
        <w:rPr>
          <w:i/>
          <w:iCs/>
          <w:lang w:val="tr-TR"/>
        </w:rPr>
        <w:t>B. infantis</w:t>
      </w:r>
      <w:r w:rsidRPr="00F64ABA">
        <w:rPr>
          <w:lang w:val="tr-TR"/>
        </w:rPr>
        <w:t xml:space="preserve">, and Nutrient Agar (NA; Condalab, Madrid, Spain) for </w:t>
      </w:r>
      <w:r w:rsidRPr="00F64ABA">
        <w:rPr>
          <w:i/>
          <w:iCs/>
          <w:lang w:val="tr-TR"/>
        </w:rPr>
        <w:t>S. aureus</w:t>
      </w:r>
      <w:r w:rsidRPr="00F64ABA">
        <w:rPr>
          <w:lang w:val="tr-TR"/>
        </w:rPr>
        <w:t>. To assess the prebiotic effect of GA, the basal media for each strain were modified with the addition of 1%, 2%, 3%, and 5% (w/v) GA. Furthermore, agar environments containing amoxicillin and azithromycin at the predefined strain-specific concentrations were prepared to determine antibiotic efficacy. To evaluate antibiotic-prebiotic interactions, test groups were established utilizing combined agar media containing either azithromycin or amoxicillin alongside 1%, 2%, 3%, and 5% (w/v) GA</w:t>
      </w:r>
      <w:r w:rsidR="0000644F" w:rsidRPr="00F64ABA">
        <w:rPr>
          <w:lang w:val="tr-TR"/>
        </w:rPr>
        <w:t>.</w:t>
      </w:r>
    </w:p>
    <w:p w:rsidR="0000644F" w:rsidRPr="00F64ABA" w:rsidRDefault="007862D3" w:rsidP="0000644F">
      <w:pPr>
        <w:pStyle w:val="MDPI21heading1"/>
        <w:rPr>
          <w:b w:val="0"/>
          <w:sz w:val="20"/>
          <w:szCs w:val="20"/>
        </w:rPr>
      </w:pPr>
      <w:r w:rsidRPr="00F64ABA">
        <w:rPr>
          <w:b w:val="0"/>
          <w:bCs/>
          <w:i/>
          <w:sz w:val="20"/>
          <w:szCs w:val="20"/>
          <w:lang w:val="tr-TR"/>
        </w:rPr>
        <w:t>4.4. Quantitative Analysis and Spread Plate Method</w:t>
      </w:r>
    </w:p>
    <w:p w:rsidR="00A17D5B" w:rsidRPr="00F64ABA" w:rsidRDefault="00A17D5B" w:rsidP="00A17D5B">
      <w:pPr>
        <w:pStyle w:val="MDPI31text"/>
        <w:rPr>
          <w:lang w:val="tr-TR"/>
        </w:rPr>
      </w:pPr>
      <w:r w:rsidRPr="00F64ABA">
        <w:rPr>
          <w:lang w:val="tr-TR"/>
        </w:rPr>
        <w:t>The quantifiable bacterial load and the subsequent effects of GA and antibiotics on the tested microorganisms were determined using the spread-plate method, a standard microbiological protocol [41]. Fresh colonies incubated on agar media for 24 hours (</w:t>
      </w:r>
      <w:r w:rsidRPr="00F64ABA">
        <w:rPr>
          <w:i/>
          <w:iCs/>
          <w:lang w:val="tr-TR"/>
        </w:rPr>
        <w:t>S. aureus</w:t>
      </w:r>
      <w:r w:rsidRPr="00F64ABA">
        <w:rPr>
          <w:lang w:val="tr-TR"/>
        </w:rPr>
        <w:t>) and 48 hours (</w:t>
      </w:r>
      <w:r w:rsidRPr="00F64ABA">
        <w:rPr>
          <w:i/>
          <w:iCs/>
          <w:lang w:val="tr-TR"/>
        </w:rPr>
        <w:t>L. casei, B. bifidum</w:t>
      </w:r>
      <w:r w:rsidRPr="00F64ABA">
        <w:rPr>
          <w:lang w:val="tr-TR"/>
        </w:rPr>
        <w:t xml:space="preserve">, and </w:t>
      </w:r>
      <w:r w:rsidRPr="00F64ABA">
        <w:rPr>
          <w:i/>
          <w:iCs/>
          <w:lang w:val="tr-TR"/>
        </w:rPr>
        <w:t>B. infantis</w:t>
      </w:r>
      <w:r w:rsidRPr="00F64ABA">
        <w:rPr>
          <w:lang w:val="tr-TR"/>
        </w:rPr>
        <w:t xml:space="preserve">) were adjusted to a 0.5 McFarland standard (≈ 1.5 × 10⁸ CFU/mL). One milliliter from the prepared stock suspension was transferred into 9 mL of 0.9% Isotonic Saline Solution (Polifarma, Türkiye) to achieve an initial 10⁻¹ dilution. The serial dilution process was maintained until a final concentration of 10⁻⁶ was reached. Aliquots of 100 µL from the 10⁻⁵ and 10⁻⁶ dilutions were inoculated onto the respective agar plates via the spread plate technique. The inoculated plates for </w:t>
      </w:r>
      <w:r w:rsidRPr="00F64ABA">
        <w:rPr>
          <w:i/>
          <w:iCs/>
          <w:lang w:val="tr-TR"/>
        </w:rPr>
        <w:t>L. casei, B. bifidium</w:t>
      </w:r>
      <w:r w:rsidRPr="00F64ABA">
        <w:rPr>
          <w:lang w:val="tr-TR"/>
        </w:rPr>
        <w:t xml:space="preserve">, and </w:t>
      </w:r>
      <w:r w:rsidRPr="00F64ABA">
        <w:rPr>
          <w:i/>
          <w:iCs/>
          <w:lang w:val="tr-TR"/>
        </w:rPr>
        <w:t>B. infantis</w:t>
      </w:r>
      <w:r w:rsidRPr="00F64ABA">
        <w:rPr>
          <w:lang w:val="tr-TR"/>
        </w:rPr>
        <w:t xml:space="preserve"> were incubated in an anaerobic incubator with 5% CO₂ at 37 °C for 48 hours, whereas </w:t>
      </w:r>
      <w:r w:rsidRPr="00F64ABA">
        <w:rPr>
          <w:i/>
          <w:iCs/>
          <w:lang w:val="tr-TR"/>
        </w:rPr>
        <w:t>S. aureus</w:t>
      </w:r>
      <w:r w:rsidRPr="00F64ABA">
        <w:rPr>
          <w:lang w:val="tr-TR"/>
        </w:rPr>
        <w:t xml:space="preserve"> plates were incubated at 37 °C for 24 hours. All experiments were performed in triplicate. Following the incubation period, the resulting colonies were counted manually, averaged, and the colony-forming units (CFU/mL) were calculated using the following formula [41]:</w:t>
      </w:r>
    </w:p>
    <w:p w:rsidR="0000644F" w:rsidRPr="00F64ABA" w:rsidRDefault="0000644F" w:rsidP="00A17D5B">
      <w:pPr>
        <w:pStyle w:val="MDPI31text"/>
        <w:rPr>
          <w:lang w:val="tr-TR"/>
        </w:rPr>
      </w:pPr>
    </w:p>
    <w:p w:rsidR="0000644F" w:rsidRPr="00F64ABA" w:rsidRDefault="00A17D5B" w:rsidP="002472A2">
      <w:pPr>
        <w:pStyle w:val="MDPI31text"/>
        <w:spacing w:before="240" w:after="240"/>
        <w:rPr>
          <w:lang w:val="tr-TR"/>
        </w:rPr>
      </w:pPr>
      <m:oMathPara>
        <m:oMath>
          <m:r>
            <w:rPr>
              <w:rFonts w:ascii="Cambria Math" w:hAnsi="Cambria Math"/>
              <w:lang w:val="tr-TR"/>
            </w:rPr>
            <w:lastRenderedPageBreak/>
            <m:t>CFU</m:t>
          </m:r>
          <m:r>
            <m:rPr>
              <m:sty m:val="p"/>
            </m:rPr>
            <w:rPr>
              <w:rFonts w:ascii="Cambria Math" w:hAnsi="Cambria Math"/>
              <w:lang w:val="tr-TR"/>
            </w:rPr>
            <m:t>/</m:t>
          </m:r>
          <m:r>
            <w:rPr>
              <w:rFonts w:ascii="Cambria Math" w:hAnsi="Cambria Math"/>
              <w:lang w:val="tr-TR"/>
            </w:rPr>
            <m:t>mL=</m:t>
          </m:r>
          <m:f>
            <m:fPr>
              <m:ctrlPr>
                <w:rPr>
                  <w:rFonts w:ascii="Cambria Math" w:hAnsi="Cambria Math"/>
                  <w:lang w:val="tr-TR"/>
                </w:rPr>
              </m:ctrlPr>
            </m:fPr>
            <m:num>
              <m:r>
                <m:rPr>
                  <m:sty m:val="p"/>
                </m:rPr>
                <w:rPr>
                  <w:rFonts w:ascii="Cambria Math" w:hAnsi="Cambria Math"/>
                  <w:lang w:val="tr-TR"/>
                </w:rPr>
                <m:t>Number of colonies × Dilution factor</m:t>
              </m:r>
            </m:num>
            <m:den>
              <m:r>
                <m:rPr>
                  <m:sty m:val="p"/>
                </m:rPr>
                <w:rPr>
                  <w:rFonts w:ascii="Cambria Math" w:hAnsi="Cambria Math"/>
                  <w:lang w:val="tr-TR"/>
                </w:rPr>
                <m:t>Volume plated</m:t>
              </m:r>
              <m:r>
                <m:rPr>
                  <m:nor/>
                </m:rPr>
                <w:rPr>
                  <w:lang w:val="tr-TR"/>
                </w:rPr>
                <m:t xml:space="preserve"> (mL)</m:t>
              </m:r>
            </m:den>
          </m:f>
        </m:oMath>
      </m:oMathPara>
    </w:p>
    <w:p w:rsidR="002472A2" w:rsidRPr="00F64ABA" w:rsidRDefault="002472A2" w:rsidP="002472A2">
      <w:pPr>
        <w:pStyle w:val="MDPI21heading1"/>
        <w:jc w:val="both"/>
        <w:rPr>
          <w:b w:val="0"/>
          <w:bCs/>
          <w:i/>
          <w:sz w:val="20"/>
          <w:szCs w:val="20"/>
          <w:lang w:val="tr-TR"/>
        </w:rPr>
      </w:pPr>
      <w:r w:rsidRPr="00F64ABA">
        <w:rPr>
          <w:b w:val="0"/>
          <w:bCs/>
          <w:i/>
          <w:sz w:val="20"/>
          <w:szCs w:val="20"/>
          <w:lang w:val="tr-TR"/>
        </w:rPr>
        <w:t>4.5. Translational Additional Studies: Semisolid Carrier System Development and Performance Tests</w:t>
      </w:r>
    </w:p>
    <w:p w:rsidR="003C4625" w:rsidRPr="00F64ABA" w:rsidRDefault="002472A2" w:rsidP="00517440">
      <w:pPr>
        <w:pStyle w:val="MDPI31text"/>
        <w:rPr>
          <w:lang w:val="tr-TR"/>
        </w:rPr>
      </w:pPr>
      <w:r w:rsidRPr="00F64ABA">
        <w:rPr>
          <w:lang w:val="tr-TR"/>
        </w:rPr>
        <w:t xml:space="preserve">In this section, a GA-based carrier system was designed and screened in two stages to evaluate the translatability of the biological windows (particularly the 1–2% (w/v) GA range) obtained from the main </w:t>
      </w:r>
      <w:r w:rsidRPr="00F64ABA">
        <w:rPr>
          <w:i/>
          <w:iCs/>
          <w:lang w:val="tr-TR"/>
        </w:rPr>
        <w:t>in vitro</w:t>
      </w:r>
      <w:r w:rsidRPr="00F64ABA">
        <w:rPr>
          <w:lang w:val="tr-TR"/>
        </w:rPr>
        <w:t xml:space="preserve"> microbiology study into a viable semisolid carrier: (i) generation of candidates via preformulation/DoE and short-term physical suitability screening; (ii) rheology (flow behavior) and IVRT-based release/kinetic screening. The semisolid performance testing approach and the IVRT experimental window were designed in accordance with recommended guidelines for topical products [42–44].</w:t>
      </w:r>
    </w:p>
    <w:p w:rsidR="00B86128" w:rsidRPr="00F64ABA" w:rsidRDefault="00B86128" w:rsidP="00B86128">
      <w:pPr>
        <w:pStyle w:val="MDPI21heading1"/>
        <w:rPr>
          <w:b w:val="0"/>
          <w:sz w:val="20"/>
          <w:szCs w:val="20"/>
        </w:rPr>
      </w:pPr>
      <w:r w:rsidRPr="00F64ABA">
        <w:rPr>
          <w:b w:val="0"/>
          <w:bCs/>
          <w:sz w:val="20"/>
          <w:szCs w:val="20"/>
          <w:lang w:val="tr-TR"/>
        </w:rPr>
        <w:t>4.5.1. Materials</w:t>
      </w:r>
    </w:p>
    <w:p w:rsidR="00B86128" w:rsidRPr="00F64ABA" w:rsidRDefault="00B86128" w:rsidP="00517440">
      <w:pPr>
        <w:pStyle w:val="MDPI31text"/>
        <w:rPr>
          <w:lang w:val="tr-TR"/>
        </w:rPr>
      </w:pPr>
      <w:r w:rsidRPr="00F64ABA">
        <w:rPr>
          <w:lang w:val="tr-TR"/>
        </w:rPr>
        <w:t>GA was sourced from Akavital (Ankara, Türkiye). Hydrogenated phosphatidylcholine (HPC; hydrogenated lecithin) was utilized to form the carrier matrix, alongside propylene glycol (PG) as a hydrophilic cosolvent and isopropyl myristate (IPM) as a lipophilic penetration enhancer. All excipients were of pharmaceutical/analytical grade; HPLC-grade solvents and reagents were used for HPLC analyses. Azithromycin and amoxicillin were selected as the model drug loads.</w:t>
      </w:r>
    </w:p>
    <w:p w:rsidR="00653308" w:rsidRPr="00F64ABA" w:rsidRDefault="00653308" w:rsidP="00653308">
      <w:pPr>
        <w:pStyle w:val="MDPI21heading1"/>
        <w:rPr>
          <w:b w:val="0"/>
          <w:sz w:val="20"/>
          <w:szCs w:val="20"/>
        </w:rPr>
      </w:pPr>
      <w:r w:rsidRPr="00F64ABA">
        <w:rPr>
          <w:b w:val="0"/>
          <w:bCs/>
          <w:sz w:val="20"/>
          <w:szCs w:val="20"/>
          <w:lang w:val="tr-TR"/>
        </w:rPr>
        <w:t>4.5.2. GA Stock Solution and Working Concentrations</w:t>
      </w:r>
    </w:p>
    <w:p w:rsidR="00653308" w:rsidRPr="00F64ABA" w:rsidRDefault="00653308" w:rsidP="00653308">
      <w:pPr>
        <w:pStyle w:val="MDPI31text"/>
        <w:rPr>
          <w:lang w:val="tr-TR"/>
        </w:rPr>
      </w:pPr>
      <w:r w:rsidRPr="00F64ABA">
        <w:rPr>
          <w:lang w:val="tr-TR"/>
        </w:rPr>
        <w:t>In alignment with the GA preparation approach utilized in the main study, a GA stock solution was formulated at 50% (w/v). Following a 24-hour resting period in a closed vessel, it was sterilized via filtration. Working concentrations of 1%, 2%, 3%, and 5% (w/v) were subsequently prepared from this stock.</w:t>
      </w:r>
    </w:p>
    <w:p w:rsidR="00653308" w:rsidRPr="00F64ABA" w:rsidRDefault="00A75AEF" w:rsidP="00653308">
      <w:pPr>
        <w:pStyle w:val="MDPI21heading1"/>
        <w:rPr>
          <w:b w:val="0"/>
          <w:sz w:val="20"/>
          <w:szCs w:val="20"/>
        </w:rPr>
      </w:pPr>
      <w:r w:rsidRPr="00F64ABA">
        <w:rPr>
          <w:b w:val="0"/>
          <w:bCs/>
          <w:sz w:val="20"/>
          <w:szCs w:val="20"/>
          <w:lang w:val="tr-TR"/>
        </w:rPr>
        <w:t>4.5.3. Formulation Design (DoE) and Selection of Variables</w:t>
      </w:r>
    </w:p>
    <w:p w:rsidR="00000F18" w:rsidRPr="00F64ABA" w:rsidRDefault="00000F18" w:rsidP="00000F18">
      <w:pPr>
        <w:pStyle w:val="MDPI31text"/>
        <w:rPr>
          <w:lang w:val="tr-TR"/>
        </w:rPr>
      </w:pPr>
      <w:r w:rsidRPr="00F64ABA">
        <w:rPr>
          <w:lang w:val="tr-TR"/>
        </w:rPr>
        <w:t>The preformulation screening was structured using a blocked, nested factorial design of experiments (DoE). The objectives were to (i) observe the impact of GA concentration on carrier microstructure and flow behavior, and (ii) compare different penetration enhancers (co-solvent vs. lipophilic enhancer) like PG and IPM on an identical phospholipid base. Consequently, HPC was kept constant at 2.5% (w/w); this design rationale was supported by studies indicating that phosphatidylcholine/hydrogenated phosphatidylcholine can fortify carrier architecture and enhance drug permeation [45,46]. The DoE factors were defined as follows:</w:t>
      </w:r>
    </w:p>
    <w:p w:rsidR="00000F18" w:rsidRPr="00F64ABA" w:rsidRDefault="00000F18" w:rsidP="00000F18">
      <w:pPr>
        <w:pStyle w:val="MDPI31text"/>
        <w:numPr>
          <w:ilvl w:val="0"/>
          <w:numId w:val="27"/>
        </w:numPr>
        <w:rPr>
          <w:lang w:val="tr-TR"/>
        </w:rPr>
      </w:pPr>
      <w:r w:rsidRPr="00F64ABA">
        <w:rPr>
          <w:lang w:val="tr-TR"/>
        </w:rPr>
        <w:t>Factor A (GA, %): 1, 2, 3, 5</w:t>
      </w:r>
    </w:p>
    <w:p w:rsidR="00000F18" w:rsidRPr="00F64ABA" w:rsidRDefault="00000F18" w:rsidP="00000F18">
      <w:pPr>
        <w:pStyle w:val="MDPI31text"/>
        <w:numPr>
          <w:ilvl w:val="0"/>
          <w:numId w:val="27"/>
        </w:numPr>
        <w:rPr>
          <w:lang w:val="tr-TR"/>
        </w:rPr>
      </w:pPr>
      <w:r w:rsidRPr="00F64ABA">
        <w:rPr>
          <w:lang w:val="tr-TR"/>
        </w:rPr>
        <w:t>Factor B (Enhancer type; block): PG or IPM</w:t>
      </w:r>
    </w:p>
    <w:p w:rsidR="00000F18" w:rsidRPr="00F64ABA" w:rsidRDefault="00000F18" w:rsidP="00000F18">
      <w:pPr>
        <w:pStyle w:val="MDPI31text"/>
        <w:numPr>
          <w:ilvl w:val="0"/>
          <w:numId w:val="27"/>
        </w:numPr>
        <w:rPr>
          <w:lang w:val="tr-TR"/>
        </w:rPr>
      </w:pPr>
      <w:r w:rsidRPr="00F64ABA">
        <w:rPr>
          <w:lang w:val="tr-TR"/>
        </w:rPr>
        <w:t>Factor C (Enhancer level; nested within type): PG block at 5% (low) and 10% (high); IPM block at 3% (low) and 7% (high)</w:t>
      </w:r>
    </w:p>
    <w:p w:rsidR="00000F18" w:rsidRPr="00F64ABA" w:rsidRDefault="00000F18" w:rsidP="00000F18">
      <w:pPr>
        <w:pStyle w:val="MDPI31text"/>
        <w:numPr>
          <w:ilvl w:val="0"/>
          <w:numId w:val="27"/>
        </w:numPr>
        <w:rPr>
          <w:lang w:val="tr-TR"/>
        </w:rPr>
      </w:pPr>
      <w:r w:rsidRPr="00F64ABA">
        <w:rPr>
          <w:lang w:val="tr-TR"/>
        </w:rPr>
        <w:t>Fixed component: HPC = 2.5% (w/w); made up to 100% with water (q.s.)</w:t>
      </w:r>
    </w:p>
    <w:p w:rsidR="00653308" w:rsidRPr="00F64ABA" w:rsidRDefault="00000F18" w:rsidP="00000F18">
      <w:pPr>
        <w:pStyle w:val="MDPI31text"/>
        <w:rPr>
          <w:lang w:val="tr-TR"/>
        </w:rPr>
      </w:pPr>
      <w:r w:rsidRPr="00F64ABA">
        <w:rPr>
          <w:lang w:val="tr-TR"/>
        </w:rPr>
        <w:t>This framework generated 16 formulations (F1-F16) (Table 4). To benchmark against a robust fatty acid penetration-enhancing mechanism, an alternative optional block was defined where oleic acid (OA) was substituted for HPC at 2.5%, serving as a limited comparator set outside the main DoE; OA's penetration-enhancing mechanism via fluidization/phase separation of stratum corneum lipids is well-documented in the literature [47–49].</w:t>
      </w:r>
    </w:p>
    <w:p w:rsidR="00720BC5" w:rsidRPr="00F64ABA" w:rsidRDefault="00720BC5" w:rsidP="00720BC5">
      <w:pPr>
        <w:pStyle w:val="MDPI41tablecaption"/>
        <w:rPr>
          <w:lang w:val="tr-TR"/>
        </w:rPr>
      </w:pPr>
      <w:r w:rsidRPr="00F64ABA">
        <w:rPr>
          <w:b/>
        </w:rPr>
        <w:t>Table 4.</w:t>
      </w:r>
      <w:r w:rsidRPr="00F64ABA">
        <w:t xml:space="preserve"> </w:t>
      </w:r>
      <w:r w:rsidRPr="00F64ABA">
        <w:rPr>
          <w:lang w:val="tr-TR"/>
        </w:rPr>
        <w:t xml:space="preserve">DoE formulation matrix (HPC fixed at 2.5%; water q.s. to 100%; percentages are w/w). </w:t>
      </w:r>
    </w:p>
    <w:tbl>
      <w:tblPr>
        <w:tblW w:w="9072" w:type="dxa"/>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2"/>
        <w:gridCol w:w="1512"/>
        <w:gridCol w:w="1512"/>
        <w:gridCol w:w="1512"/>
        <w:gridCol w:w="1512"/>
        <w:gridCol w:w="1512"/>
      </w:tblGrid>
      <w:tr w:rsidR="00060DD4" w:rsidRPr="00F64ABA" w:rsidTr="00060DD4">
        <w:trPr>
          <w:trHeight w:hRule="exact" w:val="284"/>
        </w:trPr>
        <w:tc>
          <w:tcPr>
            <w:tcW w:w="1512" w:type="dxa"/>
          </w:tcPr>
          <w:p w:rsidR="00060DD4" w:rsidRPr="00F64ABA" w:rsidRDefault="00060DD4" w:rsidP="00D752D6">
            <w:pPr>
              <w:rPr>
                <w:b/>
                <w:sz w:val="18"/>
                <w:szCs w:val="18"/>
              </w:rPr>
            </w:pPr>
            <w:r w:rsidRPr="00F64ABA">
              <w:rPr>
                <w:b/>
                <w:sz w:val="18"/>
                <w:szCs w:val="18"/>
              </w:rPr>
              <w:t>Code</w:t>
            </w:r>
          </w:p>
        </w:tc>
        <w:tc>
          <w:tcPr>
            <w:tcW w:w="1512" w:type="dxa"/>
          </w:tcPr>
          <w:p w:rsidR="00060DD4" w:rsidRPr="00F64ABA" w:rsidRDefault="00060DD4" w:rsidP="00D752D6">
            <w:pPr>
              <w:rPr>
                <w:b/>
                <w:sz w:val="18"/>
                <w:szCs w:val="18"/>
              </w:rPr>
            </w:pPr>
            <w:r w:rsidRPr="00F64ABA">
              <w:rPr>
                <w:b/>
                <w:sz w:val="18"/>
                <w:szCs w:val="18"/>
              </w:rPr>
              <w:t>Block</w:t>
            </w:r>
          </w:p>
        </w:tc>
        <w:tc>
          <w:tcPr>
            <w:tcW w:w="1512" w:type="dxa"/>
          </w:tcPr>
          <w:p w:rsidR="00060DD4" w:rsidRPr="00F64ABA" w:rsidRDefault="00060DD4" w:rsidP="00D752D6">
            <w:pPr>
              <w:rPr>
                <w:b/>
                <w:sz w:val="18"/>
                <w:szCs w:val="18"/>
              </w:rPr>
            </w:pPr>
            <w:r w:rsidRPr="00F64ABA">
              <w:rPr>
                <w:b/>
                <w:sz w:val="18"/>
                <w:szCs w:val="18"/>
              </w:rPr>
              <w:t>GA (%)</w:t>
            </w:r>
          </w:p>
        </w:tc>
        <w:tc>
          <w:tcPr>
            <w:tcW w:w="1512" w:type="dxa"/>
          </w:tcPr>
          <w:p w:rsidR="00060DD4" w:rsidRPr="00F64ABA" w:rsidRDefault="00060DD4" w:rsidP="00D752D6">
            <w:pPr>
              <w:rPr>
                <w:b/>
                <w:sz w:val="18"/>
                <w:szCs w:val="18"/>
              </w:rPr>
            </w:pPr>
            <w:r w:rsidRPr="00F64ABA">
              <w:rPr>
                <w:b/>
                <w:sz w:val="18"/>
                <w:szCs w:val="18"/>
              </w:rPr>
              <w:t>PG (%)</w:t>
            </w:r>
          </w:p>
        </w:tc>
        <w:tc>
          <w:tcPr>
            <w:tcW w:w="1512" w:type="dxa"/>
          </w:tcPr>
          <w:p w:rsidR="00060DD4" w:rsidRPr="00F64ABA" w:rsidRDefault="00060DD4" w:rsidP="00D752D6">
            <w:pPr>
              <w:rPr>
                <w:b/>
                <w:sz w:val="18"/>
                <w:szCs w:val="18"/>
              </w:rPr>
            </w:pPr>
            <w:r w:rsidRPr="00F64ABA">
              <w:rPr>
                <w:b/>
                <w:sz w:val="18"/>
                <w:szCs w:val="18"/>
              </w:rPr>
              <w:t>IPM (%)</w:t>
            </w:r>
          </w:p>
        </w:tc>
        <w:tc>
          <w:tcPr>
            <w:tcW w:w="1512" w:type="dxa"/>
          </w:tcPr>
          <w:p w:rsidR="00060DD4" w:rsidRPr="00F64ABA" w:rsidRDefault="00060DD4" w:rsidP="00D752D6">
            <w:pPr>
              <w:rPr>
                <w:b/>
                <w:sz w:val="18"/>
                <w:szCs w:val="18"/>
              </w:rPr>
            </w:pPr>
            <w:r w:rsidRPr="00F64ABA">
              <w:rPr>
                <w:b/>
                <w:sz w:val="18"/>
                <w:szCs w:val="18"/>
              </w:rPr>
              <w:t>HPC (%)</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lastRenderedPageBreak/>
              <w:t>F1</w:t>
            </w:r>
          </w:p>
        </w:tc>
        <w:tc>
          <w:tcPr>
            <w:tcW w:w="1512" w:type="dxa"/>
          </w:tcPr>
          <w:p w:rsidR="00060DD4" w:rsidRPr="00F64ABA" w:rsidRDefault="00060DD4" w:rsidP="00D752D6">
            <w:pPr>
              <w:rPr>
                <w:sz w:val="18"/>
                <w:szCs w:val="18"/>
              </w:rPr>
            </w:pPr>
            <w:r w:rsidRPr="00F64ABA">
              <w:rPr>
                <w:sz w:val="18"/>
                <w:szCs w:val="18"/>
              </w:rPr>
              <w:t>PG</w:t>
            </w:r>
          </w:p>
        </w:tc>
        <w:tc>
          <w:tcPr>
            <w:tcW w:w="1512" w:type="dxa"/>
          </w:tcPr>
          <w:p w:rsidR="00060DD4" w:rsidRPr="00F64ABA" w:rsidRDefault="00060DD4" w:rsidP="00D752D6">
            <w:pPr>
              <w:rPr>
                <w:sz w:val="18"/>
                <w:szCs w:val="18"/>
              </w:rPr>
            </w:pPr>
            <w:r w:rsidRPr="00F64ABA">
              <w:rPr>
                <w:sz w:val="18"/>
                <w:szCs w:val="18"/>
              </w:rPr>
              <w:t>1</w:t>
            </w:r>
          </w:p>
        </w:tc>
        <w:tc>
          <w:tcPr>
            <w:tcW w:w="1512" w:type="dxa"/>
          </w:tcPr>
          <w:p w:rsidR="00060DD4" w:rsidRPr="00F64ABA" w:rsidRDefault="00060DD4" w:rsidP="00D752D6">
            <w:pPr>
              <w:rPr>
                <w:sz w:val="18"/>
                <w:szCs w:val="18"/>
              </w:rPr>
            </w:pPr>
            <w:r w:rsidRPr="00F64ABA">
              <w:rPr>
                <w:sz w:val="18"/>
                <w:szCs w:val="18"/>
              </w:rPr>
              <w:t>5</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F2</w:t>
            </w:r>
          </w:p>
        </w:tc>
        <w:tc>
          <w:tcPr>
            <w:tcW w:w="1512" w:type="dxa"/>
          </w:tcPr>
          <w:p w:rsidR="00060DD4" w:rsidRPr="00F64ABA" w:rsidRDefault="00060DD4" w:rsidP="00D752D6">
            <w:pPr>
              <w:rPr>
                <w:sz w:val="18"/>
                <w:szCs w:val="18"/>
              </w:rPr>
            </w:pPr>
            <w:r w:rsidRPr="00F64ABA">
              <w:rPr>
                <w:sz w:val="18"/>
                <w:szCs w:val="18"/>
              </w:rPr>
              <w:t>PG</w:t>
            </w:r>
          </w:p>
        </w:tc>
        <w:tc>
          <w:tcPr>
            <w:tcW w:w="1512" w:type="dxa"/>
          </w:tcPr>
          <w:p w:rsidR="00060DD4" w:rsidRPr="00F64ABA" w:rsidRDefault="00060DD4" w:rsidP="00D752D6">
            <w:pPr>
              <w:rPr>
                <w:sz w:val="18"/>
                <w:szCs w:val="18"/>
              </w:rPr>
            </w:pPr>
            <w:r w:rsidRPr="00F64ABA">
              <w:rPr>
                <w:sz w:val="18"/>
                <w:szCs w:val="18"/>
              </w:rPr>
              <w:t>2</w:t>
            </w:r>
          </w:p>
        </w:tc>
        <w:tc>
          <w:tcPr>
            <w:tcW w:w="1512" w:type="dxa"/>
          </w:tcPr>
          <w:p w:rsidR="00060DD4" w:rsidRPr="00F64ABA" w:rsidRDefault="00060DD4" w:rsidP="00D752D6">
            <w:pPr>
              <w:rPr>
                <w:sz w:val="18"/>
                <w:szCs w:val="18"/>
              </w:rPr>
            </w:pPr>
            <w:r w:rsidRPr="00F64ABA">
              <w:rPr>
                <w:sz w:val="18"/>
                <w:szCs w:val="18"/>
              </w:rPr>
              <w:t>5</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F3</w:t>
            </w:r>
          </w:p>
        </w:tc>
        <w:tc>
          <w:tcPr>
            <w:tcW w:w="1512" w:type="dxa"/>
          </w:tcPr>
          <w:p w:rsidR="00060DD4" w:rsidRPr="00F64ABA" w:rsidRDefault="00060DD4" w:rsidP="00D752D6">
            <w:pPr>
              <w:rPr>
                <w:sz w:val="18"/>
                <w:szCs w:val="18"/>
              </w:rPr>
            </w:pPr>
            <w:r w:rsidRPr="00F64ABA">
              <w:rPr>
                <w:sz w:val="18"/>
                <w:szCs w:val="18"/>
              </w:rPr>
              <w:t>PG</w:t>
            </w:r>
          </w:p>
        </w:tc>
        <w:tc>
          <w:tcPr>
            <w:tcW w:w="1512" w:type="dxa"/>
          </w:tcPr>
          <w:p w:rsidR="00060DD4" w:rsidRPr="00F64ABA" w:rsidRDefault="00060DD4" w:rsidP="00D752D6">
            <w:pPr>
              <w:rPr>
                <w:sz w:val="18"/>
                <w:szCs w:val="18"/>
              </w:rPr>
            </w:pPr>
            <w:r w:rsidRPr="00F64ABA">
              <w:rPr>
                <w:sz w:val="18"/>
                <w:szCs w:val="18"/>
              </w:rPr>
              <w:t>3</w:t>
            </w:r>
          </w:p>
        </w:tc>
        <w:tc>
          <w:tcPr>
            <w:tcW w:w="1512" w:type="dxa"/>
          </w:tcPr>
          <w:p w:rsidR="00060DD4" w:rsidRPr="00F64ABA" w:rsidRDefault="00060DD4" w:rsidP="00D752D6">
            <w:pPr>
              <w:rPr>
                <w:sz w:val="18"/>
                <w:szCs w:val="18"/>
              </w:rPr>
            </w:pPr>
            <w:r w:rsidRPr="00F64ABA">
              <w:rPr>
                <w:sz w:val="18"/>
                <w:szCs w:val="18"/>
              </w:rPr>
              <w:t>5</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F4</w:t>
            </w:r>
          </w:p>
        </w:tc>
        <w:tc>
          <w:tcPr>
            <w:tcW w:w="1512" w:type="dxa"/>
          </w:tcPr>
          <w:p w:rsidR="00060DD4" w:rsidRPr="00F64ABA" w:rsidRDefault="00060DD4" w:rsidP="00D752D6">
            <w:pPr>
              <w:rPr>
                <w:sz w:val="18"/>
                <w:szCs w:val="18"/>
              </w:rPr>
            </w:pPr>
            <w:r w:rsidRPr="00F64ABA">
              <w:rPr>
                <w:sz w:val="18"/>
                <w:szCs w:val="18"/>
              </w:rPr>
              <w:t>PG</w:t>
            </w:r>
          </w:p>
        </w:tc>
        <w:tc>
          <w:tcPr>
            <w:tcW w:w="1512" w:type="dxa"/>
          </w:tcPr>
          <w:p w:rsidR="00060DD4" w:rsidRPr="00F64ABA" w:rsidRDefault="00060DD4" w:rsidP="00D752D6">
            <w:pPr>
              <w:rPr>
                <w:sz w:val="18"/>
                <w:szCs w:val="18"/>
              </w:rPr>
            </w:pPr>
            <w:r w:rsidRPr="00F64ABA">
              <w:rPr>
                <w:sz w:val="18"/>
                <w:szCs w:val="18"/>
              </w:rPr>
              <w:t>5</w:t>
            </w:r>
          </w:p>
        </w:tc>
        <w:tc>
          <w:tcPr>
            <w:tcW w:w="1512" w:type="dxa"/>
          </w:tcPr>
          <w:p w:rsidR="00060DD4" w:rsidRPr="00F64ABA" w:rsidRDefault="00060DD4" w:rsidP="00D752D6">
            <w:pPr>
              <w:rPr>
                <w:sz w:val="18"/>
                <w:szCs w:val="18"/>
              </w:rPr>
            </w:pPr>
            <w:r w:rsidRPr="00F64ABA">
              <w:rPr>
                <w:sz w:val="18"/>
                <w:szCs w:val="18"/>
              </w:rPr>
              <w:t>5</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F5</w:t>
            </w:r>
          </w:p>
        </w:tc>
        <w:tc>
          <w:tcPr>
            <w:tcW w:w="1512" w:type="dxa"/>
          </w:tcPr>
          <w:p w:rsidR="00060DD4" w:rsidRPr="00F64ABA" w:rsidRDefault="00060DD4" w:rsidP="00D752D6">
            <w:pPr>
              <w:rPr>
                <w:sz w:val="18"/>
                <w:szCs w:val="18"/>
              </w:rPr>
            </w:pPr>
            <w:r w:rsidRPr="00F64ABA">
              <w:rPr>
                <w:sz w:val="18"/>
                <w:szCs w:val="18"/>
              </w:rPr>
              <w:t>PG</w:t>
            </w:r>
          </w:p>
        </w:tc>
        <w:tc>
          <w:tcPr>
            <w:tcW w:w="1512" w:type="dxa"/>
          </w:tcPr>
          <w:p w:rsidR="00060DD4" w:rsidRPr="00F64ABA" w:rsidRDefault="00060DD4" w:rsidP="00D752D6">
            <w:pPr>
              <w:rPr>
                <w:sz w:val="18"/>
                <w:szCs w:val="18"/>
              </w:rPr>
            </w:pPr>
            <w:r w:rsidRPr="00F64ABA">
              <w:rPr>
                <w:sz w:val="18"/>
                <w:szCs w:val="18"/>
              </w:rPr>
              <w:t>1</w:t>
            </w:r>
          </w:p>
        </w:tc>
        <w:tc>
          <w:tcPr>
            <w:tcW w:w="1512" w:type="dxa"/>
          </w:tcPr>
          <w:p w:rsidR="00060DD4" w:rsidRPr="00F64ABA" w:rsidRDefault="00060DD4" w:rsidP="00D752D6">
            <w:pPr>
              <w:rPr>
                <w:sz w:val="18"/>
                <w:szCs w:val="18"/>
              </w:rPr>
            </w:pPr>
            <w:r w:rsidRPr="00F64ABA">
              <w:rPr>
                <w:sz w:val="18"/>
                <w:szCs w:val="18"/>
              </w:rPr>
              <w:t>10</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F6</w:t>
            </w:r>
          </w:p>
        </w:tc>
        <w:tc>
          <w:tcPr>
            <w:tcW w:w="1512" w:type="dxa"/>
          </w:tcPr>
          <w:p w:rsidR="00060DD4" w:rsidRPr="00F64ABA" w:rsidRDefault="00060DD4" w:rsidP="00D752D6">
            <w:pPr>
              <w:rPr>
                <w:sz w:val="18"/>
                <w:szCs w:val="18"/>
              </w:rPr>
            </w:pPr>
            <w:r w:rsidRPr="00F64ABA">
              <w:rPr>
                <w:sz w:val="18"/>
                <w:szCs w:val="18"/>
              </w:rPr>
              <w:t>PG</w:t>
            </w:r>
          </w:p>
        </w:tc>
        <w:tc>
          <w:tcPr>
            <w:tcW w:w="1512" w:type="dxa"/>
          </w:tcPr>
          <w:p w:rsidR="00060DD4" w:rsidRPr="00F64ABA" w:rsidRDefault="00060DD4" w:rsidP="00D752D6">
            <w:pPr>
              <w:rPr>
                <w:sz w:val="18"/>
                <w:szCs w:val="18"/>
              </w:rPr>
            </w:pPr>
            <w:r w:rsidRPr="00F64ABA">
              <w:rPr>
                <w:sz w:val="18"/>
                <w:szCs w:val="18"/>
              </w:rPr>
              <w:t>2</w:t>
            </w:r>
          </w:p>
        </w:tc>
        <w:tc>
          <w:tcPr>
            <w:tcW w:w="1512" w:type="dxa"/>
          </w:tcPr>
          <w:p w:rsidR="00060DD4" w:rsidRPr="00F64ABA" w:rsidRDefault="00060DD4" w:rsidP="00D752D6">
            <w:pPr>
              <w:rPr>
                <w:sz w:val="18"/>
                <w:szCs w:val="18"/>
              </w:rPr>
            </w:pPr>
            <w:r w:rsidRPr="00F64ABA">
              <w:rPr>
                <w:sz w:val="18"/>
                <w:szCs w:val="18"/>
              </w:rPr>
              <w:t>10</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F7</w:t>
            </w:r>
          </w:p>
        </w:tc>
        <w:tc>
          <w:tcPr>
            <w:tcW w:w="1512" w:type="dxa"/>
          </w:tcPr>
          <w:p w:rsidR="00060DD4" w:rsidRPr="00F64ABA" w:rsidRDefault="00060DD4" w:rsidP="00D752D6">
            <w:pPr>
              <w:rPr>
                <w:sz w:val="18"/>
                <w:szCs w:val="18"/>
              </w:rPr>
            </w:pPr>
            <w:r w:rsidRPr="00F64ABA">
              <w:rPr>
                <w:sz w:val="18"/>
                <w:szCs w:val="18"/>
              </w:rPr>
              <w:t>PG</w:t>
            </w:r>
          </w:p>
        </w:tc>
        <w:tc>
          <w:tcPr>
            <w:tcW w:w="1512" w:type="dxa"/>
          </w:tcPr>
          <w:p w:rsidR="00060DD4" w:rsidRPr="00F64ABA" w:rsidRDefault="00060DD4" w:rsidP="00D752D6">
            <w:pPr>
              <w:rPr>
                <w:sz w:val="18"/>
                <w:szCs w:val="18"/>
              </w:rPr>
            </w:pPr>
            <w:r w:rsidRPr="00F64ABA">
              <w:rPr>
                <w:sz w:val="18"/>
                <w:szCs w:val="18"/>
              </w:rPr>
              <w:t>3</w:t>
            </w:r>
          </w:p>
        </w:tc>
        <w:tc>
          <w:tcPr>
            <w:tcW w:w="1512" w:type="dxa"/>
          </w:tcPr>
          <w:p w:rsidR="00060DD4" w:rsidRPr="00F64ABA" w:rsidRDefault="00060DD4" w:rsidP="00D752D6">
            <w:pPr>
              <w:rPr>
                <w:sz w:val="18"/>
                <w:szCs w:val="18"/>
              </w:rPr>
            </w:pPr>
            <w:r w:rsidRPr="00F64ABA">
              <w:rPr>
                <w:sz w:val="18"/>
                <w:szCs w:val="18"/>
              </w:rPr>
              <w:t>10</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F8</w:t>
            </w:r>
          </w:p>
        </w:tc>
        <w:tc>
          <w:tcPr>
            <w:tcW w:w="1512" w:type="dxa"/>
          </w:tcPr>
          <w:p w:rsidR="00060DD4" w:rsidRPr="00F64ABA" w:rsidRDefault="00060DD4" w:rsidP="00D752D6">
            <w:pPr>
              <w:rPr>
                <w:sz w:val="18"/>
                <w:szCs w:val="18"/>
              </w:rPr>
            </w:pPr>
            <w:r w:rsidRPr="00F64ABA">
              <w:rPr>
                <w:sz w:val="18"/>
                <w:szCs w:val="18"/>
              </w:rPr>
              <w:t>PG</w:t>
            </w:r>
          </w:p>
        </w:tc>
        <w:tc>
          <w:tcPr>
            <w:tcW w:w="1512" w:type="dxa"/>
          </w:tcPr>
          <w:p w:rsidR="00060DD4" w:rsidRPr="00F64ABA" w:rsidRDefault="00060DD4" w:rsidP="00D752D6">
            <w:pPr>
              <w:rPr>
                <w:sz w:val="18"/>
                <w:szCs w:val="18"/>
              </w:rPr>
            </w:pPr>
            <w:r w:rsidRPr="00F64ABA">
              <w:rPr>
                <w:sz w:val="18"/>
                <w:szCs w:val="18"/>
              </w:rPr>
              <w:t>5</w:t>
            </w:r>
          </w:p>
        </w:tc>
        <w:tc>
          <w:tcPr>
            <w:tcW w:w="1512" w:type="dxa"/>
          </w:tcPr>
          <w:p w:rsidR="00060DD4" w:rsidRPr="00F64ABA" w:rsidRDefault="00060DD4" w:rsidP="00D752D6">
            <w:pPr>
              <w:rPr>
                <w:sz w:val="18"/>
                <w:szCs w:val="18"/>
              </w:rPr>
            </w:pPr>
            <w:r w:rsidRPr="00F64ABA">
              <w:rPr>
                <w:sz w:val="18"/>
                <w:szCs w:val="18"/>
              </w:rPr>
              <w:t>10</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F9</w:t>
            </w:r>
          </w:p>
        </w:tc>
        <w:tc>
          <w:tcPr>
            <w:tcW w:w="1512" w:type="dxa"/>
          </w:tcPr>
          <w:p w:rsidR="00060DD4" w:rsidRPr="00F64ABA" w:rsidRDefault="00060DD4" w:rsidP="00D752D6">
            <w:pPr>
              <w:rPr>
                <w:sz w:val="18"/>
                <w:szCs w:val="18"/>
              </w:rPr>
            </w:pPr>
            <w:r w:rsidRPr="00F64ABA">
              <w:rPr>
                <w:sz w:val="18"/>
                <w:szCs w:val="18"/>
              </w:rPr>
              <w:t>IPM</w:t>
            </w:r>
          </w:p>
        </w:tc>
        <w:tc>
          <w:tcPr>
            <w:tcW w:w="1512" w:type="dxa"/>
          </w:tcPr>
          <w:p w:rsidR="00060DD4" w:rsidRPr="00F64ABA" w:rsidRDefault="00060DD4" w:rsidP="00D752D6">
            <w:pPr>
              <w:rPr>
                <w:sz w:val="18"/>
                <w:szCs w:val="18"/>
              </w:rPr>
            </w:pPr>
            <w:r w:rsidRPr="00F64ABA">
              <w:rPr>
                <w:sz w:val="18"/>
                <w:szCs w:val="18"/>
              </w:rPr>
              <w:t>1</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3</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F10</w:t>
            </w:r>
          </w:p>
        </w:tc>
        <w:tc>
          <w:tcPr>
            <w:tcW w:w="1512" w:type="dxa"/>
          </w:tcPr>
          <w:p w:rsidR="00060DD4" w:rsidRPr="00F64ABA" w:rsidRDefault="00060DD4" w:rsidP="00D752D6">
            <w:pPr>
              <w:rPr>
                <w:sz w:val="18"/>
                <w:szCs w:val="18"/>
              </w:rPr>
            </w:pPr>
            <w:r w:rsidRPr="00F64ABA">
              <w:rPr>
                <w:sz w:val="18"/>
                <w:szCs w:val="18"/>
              </w:rPr>
              <w:t>IPM</w:t>
            </w:r>
          </w:p>
        </w:tc>
        <w:tc>
          <w:tcPr>
            <w:tcW w:w="1512" w:type="dxa"/>
          </w:tcPr>
          <w:p w:rsidR="00060DD4" w:rsidRPr="00F64ABA" w:rsidRDefault="00060DD4" w:rsidP="00D752D6">
            <w:pPr>
              <w:rPr>
                <w:sz w:val="18"/>
                <w:szCs w:val="18"/>
              </w:rPr>
            </w:pPr>
            <w:r w:rsidRPr="00F64ABA">
              <w:rPr>
                <w:sz w:val="18"/>
                <w:szCs w:val="18"/>
              </w:rPr>
              <w:t>2</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3</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F11</w:t>
            </w:r>
          </w:p>
        </w:tc>
        <w:tc>
          <w:tcPr>
            <w:tcW w:w="1512" w:type="dxa"/>
          </w:tcPr>
          <w:p w:rsidR="00060DD4" w:rsidRPr="00F64ABA" w:rsidRDefault="00060DD4" w:rsidP="00D752D6">
            <w:pPr>
              <w:rPr>
                <w:sz w:val="18"/>
                <w:szCs w:val="18"/>
              </w:rPr>
            </w:pPr>
            <w:r w:rsidRPr="00F64ABA">
              <w:rPr>
                <w:sz w:val="18"/>
                <w:szCs w:val="18"/>
              </w:rPr>
              <w:t>IPM</w:t>
            </w:r>
          </w:p>
        </w:tc>
        <w:tc>
          <w:tcPr>
            <w:tcW w:w="1512" w:type="dxa"/>
          </w:tcPr>
          <w:p w:rsidR="00060DD4" w:rsidRPr="00F64ABA" w:rsidRDefault="00060DD4" w:rsidP="00D752D6">
            <w:pPr>
              <w:rPr>
                <w:sz w:val="18"/>
                <w:szCs w:val="18"/>
              </w:rPr>
            </w:pPr>
            <w:r w:rsidRPr="00F64ABA">
              <w:rPr>
                <w:sz w:val="18"/>
                <w:szCs w:val="18"/>
              </w:rPr>
              <w:t>3</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3</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F12</w:t>
            </w:r>
          </w:p>
        </w:tc>
        <w:tc>
          <w:tcPr>
            <w:tcW w:w="1512" w:type="dxa"/>
          </w:tcPr>
          <w:p w:rsidR="00060DD4" w:rsidRPr="00F64ABA" w:rsidRDefault="00060DD4" w:rsidP="00D752D6">
            <w:pPr>
              <w:rPr>
                <w:sz w:val="18"/>
                <w:szCs w:val="18"/>
              </w:rPr>
            </w:pPr>
            <w:r w:rsidRPr="00F64ABA">
              <w:rPr>
                <w:sz w:val="18"/>
                <w:szCs w:val="18"/>
              </w:rPr>
              <w:t>IPM</w:t>
            </w:r>
          </w:p>
        </w:tc>
        <w:tc>
          <w:tcPr>
            <w:tcW w:w="1512" w:type="dxa"/>
          </w:tcPr>
          <w:p w:rsidR="00060DD4" w:rsidRPr="00F64ABA" w:rsidRDefault="00060DD4" w:rsidP="00D752D6">
            <w:pPr>
              <w:rPr>
                <w:sz w:val="18"/>
                <w:szCs w:val="18"/>
              </w:rPr>
            </w:pPr>
            <w:r w:rsidRPr="00F64ABA">
              <w:rPr>
                <w:sz w:val="18"/>
                <w:szCs w:val="18"/>
              </w:rPr>
              <w:t>5</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3</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F13</w:t>
            </w:r>
          </w:p>
        </w:tc>
        <w:tc>
          <w:tcPr>
            <w:tcW w:w="1512" w:type="dxa"/>
          </w:tcPr>
          <w:p w:rsidR="00060DD4" w:rsidRPr="00F64ABA" w:rsidRDefault="00060DD4" w:rsidP="00D752D6">
            <w:pPr>
              <w:rPr>
                <w:sz w:val="18"/>
                <w:szCs w:val="18"/>
              </w:rPr>
            </w:pPr>
            <w:r w:rsidRPr="00F64ABA">
              <w:rPr>
                <w:sz w:val="18"/>
                <w:szCs w:val="18"/>
              </w:rPr>
              <w:t>IPM</w:t>
            </w:r>
          </w:p>
        </w:tc>
        <w:tc>
          <w:tcPr>
            <w:tcW w:w="1512" w:type="dxa"/>
          </w:tcPr>
          <w:p w:rsidR="00060DD4" w:rsidRPr="00F64ABA" w:rsidRDefault="00060DD4" w:rsidP="00D752D6">
            <w:pPr>
              <w:rPr>
                <w:sz w:val="18"/>
                <w:szCs w:val="18"/>
              </w:rPr>
            </w:pPr>
            <w:r w:rsidRPr="00F64ABA">
              <w:rPr>
                <w:sz w:val="18"/>
                <w:szCs w:val="18"/>
              </w:rPr>
              <w:t>1</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7</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F14</w:t>
            </w:r>
          </w:p>
        </w:tc>
        <w:tc>
          <w:tcPr>
            <w:tcW w:w="1512" w:type="dxa"/>
          </w:tcPr>
          <w:p w:rsidR="00060DD4" w:rsidRPr="00F64ABA" w:rsidRDefault="00060DD4" w:rsidP="00D752D6">
            <w:pPr>
              <w:rPr>
                <w:sz w:val="18"/>
                <w:szCs w:val="18"/>
              </w:rPr>
            </w:pPr>
            <w:r w:rsidRPr="00F64ABA">
              <w:rPr>
                <w:sz w:val="18"/>
                <w:szCs w:val="18"/>
              </w:rPr>
              <w:t>IPM</w:t>
            </w:r>
          </w:p>
        </w:tc>
        <w:tc>
          <w:tcPr>
            <w:tcW w:w="1512" w:type="dxa"/>
          </w:tcPr>
          <w:p w:rsidR="00060DD4" w:rsidRPr="00F64ABA" w:rsidRDefault="00060DD4" w:rsidP="00D752D6">
            <w:pPr>
              <w:rPr>
                <w:sz w:val="18"/>
                <w:szCs w:val="18"/>
              </w:rPr>
            </w:pPr>
            <w:r w:rsidRPr="00F64ABA">
              <w:rPr>
                <w:sz w:val="18"/>
                <w:szCs w:val="18"/>
              </w:rPr>
              <w:t>2</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7</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F15</w:t>
            </w:r>
          </w:p>
        </w:tc>
        <w:tc>
          <w:tcPr>
            <w:tcW w:w="1512" w:type="dxa"/>
          </w:tcPr>
          <w:p w:rsidR="00060DD4" w:rsidRPr="00F64ABA" w:rsidRDefault="00060DD4" w:rsidP="00D752D6">
            <w:pPr>
              <w:rPr>
                <w:sz w:val="18"/>
                <w:szCs w:val="18"/>
              </w:rPr>
            </w:pPr>
            <w:r w:rsidRPr="00F64ABA">
              <w:rPr>
                <w:sz w:val="18"/>
                <w:szCs w:val="18"/>
              </w:rPr>
              <w:t>IPM</w:t>
            </w:r>
          </w:p>
        </w:tc>
        <w:tc>
          <w:tcPr>
            <w:tcW w:w="1512" w:type="dxa"/>
          </w:tcPr>
          <w:p w:rsidR="00060DD4" w:rsidRPr="00F64ABA" w:rsidRDefault="00060DD4" w:rsidP="00D752D6">
            <w:pPr>
              <w:rPr>
                <w:sz w:val="18"/>
                <w:szCs w:val="18"/>
              </w:rPr>
            </w:pPr>
            <w:r w:rsidRPr="00F64ABA">
              <w:rPr>
                <w:sz w:val="18"/>
                <w:szCs w:val="18"/>
              </w:rPr>
              <w:t>3</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7</w:t>
            </w:r>
          </w:p>
        </w:tc>
        <w:tc>
          <w:tcPr>
            <w:tcW w:w="1512" w:type="dxa"/>
          </w:tcPr>
          <w:p w:rsidR="00060DD4" w:rsidRPr="00F64ABA" w:rsidRDefault="00060DD4" w:rsidP="00D752D6">
            <w:pPr>
              <w:rPr>
                <w:sz w:val="18"/>
                <w:szCs w:val="18"/>
              </w:rPr>
            </w:pPr>
            <w:r w:rsidRPr="00F64ABA">
              <w:rPr>
                <w:sz w:val="18"/>
                <w:szCs w:val="18"/>
              </w:rPr>
              <w:t>2,5</w:t>
            </w:r>
          </w:p>
        </w:tc>
      </w:tr>
      <w:tr w:rsidR="00060DD4" w:rsidRPr="00F64ABA" w:rsidTr="00060DD4">
        <w:trPr>
          <w:trHeight w:hRule="exact" w:val="284"/>
        </w:trPr>
        <w:tc>
          <w:tcPr>
            <w:tcW w:w="1512" w:type="dxa"/>
          </w:tcPr>
          <w:p w:rsidR="00060DD4" w:rsidRPr="00F64ABA" w:rsidRDefault="00060DD4" w:rsidP="00D752D6">
            <w:pPr>
              <w:rPr>
                <w:sz w:val="18"/>
                <w:szCs w:val="18"/>
              </w:rPr>
            </w:pPr>
            <w:r w:rsidRPr="00F64ABA">
              <w:rPr>
                <w:sz w:val="18"/>
                <w:szCs w:val="18"/>
              </w:rPr>
              <w:t>F16</w:t>
            </w:r>
          </w:p>
        </w:tc>
        <w:tc>
          <w:tcPr>
            <w:tcW w:w="1512" w:type="dxa"/>
          </w:tcPr>
          <w:p w:rsidR="00060DD4" w:rsidRPr="00F64ABA" w:rsidRDefault="00060DD4" w:rsidP="00D752D6">
            <w:pPr>
              <w:rPr>
                <w:sz w:val="18"/>
                <w:szCs w:val="18"/>
              </w:rPr>
            </w:pPr>
            <w:r w:rsidRPr="00F64ABA">
              <w:rPr>
                <w:sz w:val="18"/>
                <w:szCs w:val="18"/>
              </w:rPr>
              <w:t>IPM</w:t>
            </w:r>
          </w:p>
        </w:tc>
        <w:tc>
          <w:tcPr>
            <w:tcW w:w="1512" w:type="dxa"/>
          </w:tcPr>
          <w:p w:rsidR="00060DD4" w:rsidRPr="00F64ABA" w:rsidRDefault="00060DD4" w:rsidP="00D752D6">
            <w:pPr>
              <w:rPr>
                <w:sz w:val="18"/>
                <w:szCs w:val="18"/>
              </w:rPr>
            </w:pPr>
            <w:r w:rsidRPr="00F64ABA">
              <w:rPr>
                <w:sz w:val="18"/>
                <w:szCs w:val="18"/>
              </w:rPr>
              <w:t>5</w:t>
            </w:r>
          </w:p>
        </w:tc>
        <w:tc>
          <w:tcPr>
            <w:tcW w:w="1512" w:type="dxa"/>
          </w:tcPr>
          <w:p w:rsidR="00060DD4" w:rsidRPr="00F64ABA" w:rsidRDefault="00060DD4" w:rsidP="00D752D6">
            <w:pPr>
              <w:rPr>
                <w:sz w:val="18"/>
                <w:szCs w:val="18"/>
              </w:rPr>
            </w:pPr>
            <w:r w:rsidRPr="00F64ABA">
              <w:rPr>
                <w:sz w:val="18"/>
                <w:szCs w:val="18"/>
              </w:rPr>
              <w:t>0</w:t>
            </w:r>
          </w:p>
        </w:tc>
        <w:tc>
          <w:tcPr>
            <w:tcW w:w="1512" w:type="dxa"/>
          </w:tcPr>
          <w:p w:rsidR="00060DD4" w:rsidRPr="00F64ABA" w:rsidRDefault="00060DD4" w:rsidP="00D752D6">
            <w:pPr>
              <w:rPr>
                <w:sz w:val="18"/>
                <w:szCs w:val="18"/>
              </w:rPr>
            </w:pPr>
            <w:r w:rsidRPr="00F64ABA">
              <w:rPr>
                <w:sz w:val="18"/>
                <w:szCs w:val="18"/>
              </w:rPr>
              <w:t>7</w:t>
            </w:r>
          </w:p>
        </w:tc>
        <w:tc>
          <w:tcPr>
            <w:tcW w:w="1512" w:type="dxa"/>
          </w:tcPr>
          <w:p w:rsidR="00060DD4" w:rsidRPr="00F64ABA" w:rsidRDefault="00060DD4" w:rsidP="00D752D6">
            <w:pPr>
              <w:rPr>
                <w:sz w:val="18"/>
                <w:szCs w:val="18"/>
              </w:rPr>
            </w:pPr>
            <w:r w:rsidRPr="00F64ABA">
              <w:rPr>
                <w:sz w:val="18"/>
                <w:szCs w:val="18"/>
              </w:rPr>
              <w:t>2,5</w:t>
            </w:r>
          </w:p>
        </w:tc>
      </w:tr>
    </w:tbl>
    <w:p w:rsidR="00653308" w:rsidRPr="00F64ABA" w:rsidRDefault="00060DD4" w:rsidP="00653308">
      <w:pPr>
        <w:pStyle w:val="MDPI21heading1"/>
        <w:rPr>
          <w:b w:val="0"/>
          <w:sz w:val="20"/>
          <w:szCs w:val="20"/>
        </w:rPr>
      </w:pPr>
      <w:r w:rsidRPr="00F64ABA">
        <w:rPr>
          <w:b w:val="0"/>
          <w:bCs/>
          <w:sz w:val="20"/>
          <w:szCs w:val="20"/>
          <w:lang w:val="tr-TR"/>
        </w:rPr>
        <w:t>4.5.4. Preparation of Preformulations</w:t>
      </w:r>
    </w:p>
    <w:p w:rsidR="00653308" w:rsidRPr="00F64ABA" w:rsidRDefault="00134207" w:rsidP="00517440">
      <w:pPr>
        <w:pStyle w:val="MDPI31text"/>
        <w:rPr>
          <w:lang w:val="tr-TR"/>
        </w:rPr>
      </w:pPr>
      <w:r w:rsidRPr="00F64ABA">
        <w:rPr>
          <w:lang w:val="tr-TR"/>
        </w:rPr>
        <w:t>For each formulation, the corresponding working GA solution (Factor A) was placed into a beaker; HPC (2.5%) was then incorporated under controlled stirring until a homogeneous dispersion was achieved. Subsequently, either PG (5% or 10%) or IPM (3% or 7%) was added according to the DoE matrix. The mixing/homogenization procedure was standardized across all formulations to produce visually homogeneous systems. Total mass was adjusted to 100% (q.s.) utilizing sterile distilled water. The antibiotic load was maintained constant across all formulations to ensure comparability</w:t>
      </w:r>
      <w:r w:rsidR="00653308" w:rsidRPr="00F64ABA">
        <w:rPr>
          <w:lang w:val="tr-TR"/>
        </w:rPr>
        <w:t>.</w:t>
      </w:r>
    </w:p>
    <w:p w:rsidR="00653308" w:rsidRPr="00F64ABA" w:rsidRDefault="00324A52" w:rsidP="00653308">
      <w:pPr>
        <w:pStyle w:val="MDPI21heading1"/>
        <w:rPr>
          <w:b w:val="0"/>
          <w:sz w:val="20"/>
          <w:szCs w:val="20"/>
        </w:rPr>
      </w:pPr>
      <w:r w:rsidRPr="00F64ABA">
        <w:rPr>
          <w:b w:val="0"/>
          <w:bCs/>
          <w:sz w:val="20"/>
          <w:szCs w:val="20"/>
          <w:lang w:val="tr-TR"/>
        </w:rPr>
        <w:t>4.5.5. Short-Term Physical Screening and Stability Observation</w:t>
      </w:r>
    </w:p>
    <w:p w:rsidR="00653308" w:rsidRPr="00F64ABA" w:rsidRDefault="00324A52" w:rsidP="00653308">
      <w:pPr>
        <w:pStyle w:val="MDPI31text"/>
        <w:rPr>
          <w:lang w:val="tr-TR"/>
        </w:rPr>
      </w:pPr>
      <w:r w:rsidRPr="00F64ABA">
        <w:rPr>
          <w:lang w:val="tr-TR"/>
        </w:rPr>
        <w:t>Following preparation and during short-term storage (24-72 hours; room temperature and 37 °C), the formulations were screened for homogeneity, phase separation/creaming, pH, and reproducibility of sampling. Systems exhibiting rapid phase separation or failing to yield reproducible sampling were de-prioritized for advanced testing</w:t>
      </w:r>
      <w:r w:rsidR="00653308" w:rsidRPr="00F64ABA">
        <w:rPr>
          <w:lang w:val="tr-TR"/>
        </w:rPr>
        <w:t>.</w:t>
      </w:r>
    </w:p>
    <w:p w:rsidR="00653308" w:rsidRPr="00F64ABA" w:rsidRDefault="007A4F61" w:rsidP="00653308">
      <w:pPr>
        <w:pStyle w:val="MDPI21heading1"/>
        <w:rPr>
          <w:b w:val="0"/>
          <w:sz w:val="20"/>
          <w:szCs w:val="20"/>
        </w:rPr>
      </w:pPr>
      <w:r w:rsidRPr="00F64ABA">
        <w:rPr>
          <w:b w:val="0"/>
          <w:bCs/>
          <w:sz w:val="20"/>
          <w:szCs w:val="20"/>
          <w:lang w:val="tr-TR"/>
        </w:rPr>
        <w:t>4.5.6. Rheological Characterization: Apparent Viscosity-Shear Rate Profile</w:t>
      </w:r>
    </w:p>
    <w:p w:rsidR="00653308" w:rsidRPr="00F64ABA" w:rsidRDefault="007F7AB4" w:rsidP="00517440">
      <w:pPr>
        <w:pStyle w:val="MDPI31text"/>
        <w:rPr>
          <w:lang w:val="tr-TR"/>
        </w:rPr>
      </w:pPr>
      <w:r w:rsidRPr="00F64ABA">
        <w:rPr>
          <w:lang w:val="tr-TR"/>
        </w:rPr>
        <w:t>Flow behavior screening was conducted using a Brookfield-type rotational viscometer, based on the multi-speed measurement approach recommended for non-Newtonian materials [50]. A Small Sample Adapter (SC4) and an SC4-27 spindle were employed; the shear rate conversion was calculated according to the manufacturer's adapter constant as γ</w:t>
      </w:r>
      <w:r w:rsidRPr="00F64ABA">
        <w:rPr>
          <w:rFonts w:ascii="Times New Roman" w:hAnsi="Times New Roman"/>
          <w:lang w:val="tr-TR"/>
        </w:rPr>
        <w:t>̇</w:t>
      </w:r>
      <w:r w:rsidRPr="00F64ABA">
        <w:rPr>
          <w:lang w:val="tr-TR"/>
        </w:rPr>
        <w:t xml:space="preserve"> (s</w:t>
      </w:r>
      <w:r w:rsidRPr="00F64ABA">
        <w:rPr>
          <w:rFonts w:cs="Palatino Linotype"/>
          <w:lang w:val="tr-TR"/>
        </w:rPr>
        <w:t>⁻¹</w:t>
      </w:r>
      <w:r w:rsidRPr="00F64ABA">
        <w:rPr>
          <w:lang w:val="tr-TR"/>
        </w:rPr>
        <w:t xml:space="preserve">) = 0.34 </w:t>
      </w:r>
      <w:r w:rsidRPr="00F64ABA">
        <w:rPr>
          <w:rFonts w:cs="Palatino Linotype"/>
          <w:lang w:val="tr-TR"/>
        </w:rPr>
        <w:t>×</w:t>
      </w:r>
      <w:r w:rsidRPr="00F64ABA">
        <w:rPr>
          <w:lang w:val="tr-TR"/>
        </w:rPr>
        <w:t xml:space="preserve"> rpm. Measurements were executed at 5, 10, 20, 50, and 100 rpm (corresponding to 1.7, 3.4, 6.8, 17, and 34 s</w:t>
      </w:r>
      <w:r w:rsidRPr="00F64ABA">
        <w:rPr>
          <w:rFonts w:cs="Palatino Linotype"/>
          <w:lang w:val="tr-TR"/>
        </w:rPr>
        <w:t>⁻¹</w:t>
      </w:r>
      <w:r w:rsidRPr="00F64ABA">
        <w:rPr>
          <w:lang w:val="tr-TR"/>
        </w:rPr>
        <w:t>, respectively). Samples were gently homogenized prior to measurement to minimize air bubbles, equilibrated at 32 ± 0.5 °C for 10 minutes, and the speed sweep was applied from 5 to 100 rpm. At each speed, readings were taken once the torque/viscosity reached a plateau (typically 30-60 s), ensuring the torque remained within the recommended range (approximately 10%-100%). All measurements were conducted in triplicate (n=3) and reported as mean ± SD</w:t>
      </w:r>
      <w:r w:rsidR="00653308" w:rsidRPr="00F64ABA">
        <w:rPr>
          <w:lang w:val="tr-TR"/>
        </w:rPr>
        <w:t>.</w:t>
      </w:r>
    </w:p>
    <w:p w:rsidR="00653308" w:rsidRPr="00F64ABA" w:rsidRDefault="009E7E0C" w:rsidP="00653308">
      <w:pPr>
        <w:pStyle w:val="MDPI21heading1"/>
        <w:rPr>
          <w:b w:val="0"/>
          <w:sz w:val="20"/>
          <w:szCs w:val="20"/>
        </w:rPr>
      </w:pPr>
      <w:r w:rsidRPr="00F64ABA">
        <w:rPr>
          <w:b w:val="0"/>
          <w:bCs/>
          <w:sz w:val="20"/>
          <w:szCs w:val="20"/>
          <w:lang w:val="tr-TR"/>
        </w:rPr>
        <w:t>4.5.7. In Vitro Release Test (IVRT) and HPLC Quantitative Analysis Using GA-Marker (Galactose Equivalent)</w:t>
      </w:r>
    </w:p>
    <w:p w:rsidR="00687A18" w:rsidRPr="00F64ABA" w:rsidRDefault="00687A18" w:rsidP="00687A18">
      <w:pPr>
        <w:pStyle w:val="MDPI31text"/>
        <w:rPr>
          <w:lang w:val="tr-TR"/>
        </w:rPr>
      </w:pPr>
      <w:r w:rsidRPr="00F64ABA">
        <w:rPr>
          <w:lang w:val="tr-TR"/>
        </w:rPr>
        <w:t xml:space="preserve">Following the rheological screening, formulations F6, F10, F14, and F15 advanced to the IVRT-based kinetic/release evaluation (n=3). The study design was structured around the discriminatory 4–6 hour IVRT window recommended for topical products; the range </w:t>
      </w:r>
      <w:r w:rsidRPr="00F64ABA">
        <w:rPr>
          <w:lang w:val="tr-TR"/>
        </w:rPr>
        <w:lastRenderedPageBreak/>
        <w:t>showing linear release rates (target r² ≥ 0.97) was evaluated via time-point sampling from 0 to 6 hours, and the 12th hour was included as an additional endpoint [42]. Due to the unavailability of a Franz cell, the experiments were conducted in a temperature-controlled and stirred receptor environment, aligning with the membrane-based diffusion approach defined in semisolid performance tests [43,44]. Because GA is a complex mixture with heteropolysaccharide/glycoprotein character, release was monitored using a monosaccharide marker strategy rather than attempting to trace a single intact GA signal. Given that galactose is reported to be one of the dominant neutral sugar fractions following GA hydrolysis, the GA-specific analyte in the receptor samples was defined as galactose equivalents utilizing D-galactose standards [51].</w:t>
      </w:r>
    </w:p>
    <w:p w:rsidR="00653308" w:rsidRPr="00F64ABA" w:rsidRDefault="00687A18" w:rsidP="00687A18">
      <w:pPr>
        <w:pStyle w:val="MDPI31text"/>
        <w:rPr>
          <w:lang w:val="tr-TR"/>
        </w:rPr>
      </w:pPr>
      <w:r w:rsidRPr="00F64ABA">
        <w:rPr>
          <w:lang w:val="tr-TR"/>
        </w:rPr>
        <w:t>Receptor samples were extracted at 0, 0.5, 1, 2, 3, 4, 5, 6, and 12 hours. To liberate the monosaccharides, the samples were hydrolyzed with 2 M trifluoroacetic acid (TFA) at 121 °C. Since polysaccharide hydrolysis conditions dictate sugar recovery and degradation risk, hydrolysis severity was strictly controlled to ensure comparability between formulations [52]. Following hydrolysis, TFA was removed; the monosaccharides were derivatized with 1-phenyl-3-methyl-5-pyrazolone (PMP) under alkaline conditions and quantified via RP-HPLC with UV/DAD detection (~245 nm). This validated approach utilizing PMP pre-column derivatization for monosaccharide profile analysis is well-established in the literature [53]. Cumulative percentage release was calculated for kinetic screening; standard transformations (cumulative release vs. √t, log10(% remaining) vs. t, cube root(% remaining) vs. t) were also generated for discriminatory purposes. It has been reported that PG and IPM can alter transport behaviors in membrane-based diffusion experiments, and good fits with the Higuchi representation can be achieved in certain systems [54].</w:t>
      </w:r>
    </w:p>
    <w:p w:rsidR="00653308" w:rsidRPr="00F64ABA" w:rsidRDefault="008E7CF3" w:rsidP="00653308">
      <w:pPr>
        <w:pStyle w:val="MDPI21heading1"/>
        <w:rPr>
          <w:b w:val="0"/>
          <w:sz w:val="20"/>
          <w:szCs w:val="20"/>
        </w:rPr>
      </w:pPr>
      <w:r w:rsidRPr="00F64ABA">
        <w:rPr>
          <w:b w:val="0"/>
          <w:bCs/>
          <w:sz w:val="20"/>
          <w:szCs w:val="20"/>
          <w:lang w:val="tr-TR"/>
        </w:rPr>
        <w:t>4.5.8. Statistical Approach</w:t>
      </w:r>
    </w:p>
    <w:p w:rsidR="00653308" w:rsidRPr="00F64ABA" w:rsidRDefault="00DF35A2" w:rsidP="00517440">
      <w:pPr>
        <w:pStyle w:val="MDPI31text"/>
        <w:rPr>
          <w:lang w:val="tr-TR"/>
        </w:rPr>
      </w:pPr>
      <w:r w:rsidRPr="00F64ABA">
        <w:rPr>
          <w:lang w:val="tr-TR"/>
        </w:rPr>
        <w:t>A blocked, nested ANOVA compatible with the DoE structure was planned to evaluate the preformulation screening outputs (pass/fail, rheological parameters, IVRT endpoints); the significance level was set at p &lt; 0.05.</w:t>
      </w:r>
    </w:p>
    <w:p w:rsidR="007713AF" w:rsidRPr="00F64ABA" w:rsidRDefault="007713AF" w:rsidP="00517440">
      <w:pPr>
        <w:pStyle w:val="MDPI21heading1"/>
      </w:pPr>
      <w:r w:rsidRPr="00F64ABA">
        <w:t>5. Conclusions</w:t>
      </w:r>
    </w:p>
    <w:p w:rsidR="00D45432" w:rsidRPr="00F64ABA" w:rsidRDefault="00D45432" w:rsidP="00D45432">
      <w:pPr>
        <w:pStyle w:val="MDPI31text"/>
        <w:rPr>
          <w:lang w:val="tr-TR"/>
        </w:rPr>
      </w:pPr>
      <w:r w:rsidRPr="00F64ABA">
        <w:rPr>
          <w:lang w:val="tr-TR"/>
        </w:rPr>
        <w:t xml:space="preserve">This study has successfully demonstrated, through two complementary approaches, the potential of GA to sustain microbial equilibrium under antibiotic stress, alongside its translatability into a viable semisolid carrier. The primary CFU-based experiments revealed that GA, particularly within the 1–2% range, could stimulate the growth of </w:t>
      </w:r>
      <w:r w:rsidRPr="00F64ABA">
        <w:rPr>
          <w:i/>
          <w:iCs/>
          <w:lang w:val="tr-TR"/>
        </w:rPr>
        <w:t>Bifidobacterium</w:t>
      </w:r>
      <w:r w:rsidRPr="00F64ABA">
        <w:rPr>
          <w:lang w:val="tr-TR"/>
        </w:rPr>
        <w:t xml:space="preserve"> species and </w:t>
      </w:r>
      <w:r w:rsidRPr="00F64ABA">
        <w:rPr>
          <w:i/>
          <w:iCs/>
          <w:lang w:val="tr-TR"/>
        </w:rPr>
        <w:t>L. casei</w:t>
      </w:r>
      <w:r w:rsidRPr="00F64ABA">
        <w:rPr>
          <w:lang w:val="tr-TR"/>
        </w:rPr>
        <w:t xml:space="preserve">; furthermore, it conferred a protective trend on </w:t>
      </w:r>
      <w:r w:rsidRPr="00F64ABA">
        <w:rPr>
          <w:i/>
          <w:iCs/>
          <w:lang w:val="tr-TR"/>
        </w:rPr>
        <w:t>B. infantis</w:t>
      </w:r>
      <w:r w:rsidRPr="00F64ABA">
        <w:rPr>
          <w:lang w:val="tr-TR"/>
        </w:rPr>
        <w:t xml:space="preserve"> under azithromycin stress, as evidenced by elevated CFU counts. Conversely, the reduction of pathogenic </w:t>
      </w:r>
      <w:r w:rsidRPr="00F64ABA">
        <w:rPr>
          <w:i/>
          <w:iCs/>
          <w:lang w:val="tr-TR"/>
        </w:rPr>
        <w:t>S. aureus</w:t>
      </w:r>
      <w:r w:rsidRPr="00F64ABA">
        <w:rPr>
          <w:lang w:val="tr-TR"/>
        </w:rPr>
        <w:t xml:space="preserve"> CFU counts upon 2% GA addition in the presence of amoxicillin indicates that GA can modulate antibiotic efficacy within a defined concentration window.</w:t>
      </w:r>
    </w:p>
    <w:p w:rsidR="000304D2" w:rsidRDefault="00D45432" w:rsidP="00C96364">
      <w:pPr>
        <w:pStyle w:val="MDPI31text"/>
        <w:spacing w:after="240"/>
        <w:rPr>
          <w:b/>
        </w:rPr>
      </w:pPr>
      <w:r w:rsidRPr="00F64ABA">
        <w:rPr>
          <w:lang w:val="tr-TR"/>
        </w:rPr>
        <w:t xml:space="preserve">The translational arm transposed this biological concentration window into GA-HPC-based semisolid systems, screening 16 candidate formulations via DoE. Rheological profiling detected shear-thinning behavior across all candidates, pinpointing F14 and F15 (containing 7% IPM) as the optimal choices in balancing retention and spreadability. The release hierarchy established through the IVRT-PMP-HPLC methodology tracking galactose equivalent markers (F6 &gt; F10 &gt; F14 &gt; F15) proved that the release behaviors of the PG and IPM blocks could be significantly discriminated. Nonetheless, to fully elucidate the underlying mechanisms and their clinical correlations, future validation studies employing co-culture/biofilm endpoints, simultaneous release-permeation tests of antibiotic and GA (IVPT/Franz diffusion), and appropriate </w:t>
      </w:r>
      <w:r w:rsidRPr="00F64ABA">
        <w:rPr>
          <w:i/>
          <w:iCs/>
          <w:lang w:val="tr-TR"/>
        </w:rPr>
        <w:t>in vivo</w:t>
      </w:r>
      <w:r w:rsidRPr="00F64ABA">
        <w:rPr>
          <w:lang w:val="tr-TR"/>
        </w:rPr>
        <w:t xml:space="preserve"> models are highly recommended</w:t>
      </w:r>
      <w:r w:rsidR="007713AF" w:rsidRPr="00F64ABA">
        <w:t>.</w:t>
      </w:r>
    </w:p>
    <w:p w:rsidR="007713AF" w:rsidRPr="00F64ABA" w:rsidRDefault="007713AF" w:rsidP="00517440">
      <w:pPr>
        <w:pStyle w:val="MDPI62backmatter"/>
      </w:pPr>
      <w:r w:rsidRPr="00F64ABA">
        <w:rPr>
          <w:b/>
        </w:rPr>
        <w:t>Author Contributions:</w:t>
      </w:r>
      <w:r w:rsidRPr="00F64ABA">
        <w:t xml:space="preserve"> </w:t>
      </w:r>
      <w:r w:rsidR="00D752D6">
        <w:t xml:space="preserve">Conceptualization, I.A., D.D., E.M., A.A.K. and B.C.Ö.; methodology, I.A., D.D., E.M., A.A.K. and B.C.Ö.; software, M.E.B. and E.O.B.; validation, I.A., M.E.B., R.A., Ö.T. and </w:t>
      </w:r>
      <w:r w:rsidR="00D752D6">
        <w:lastRenderedPageBreak/>
        <w:t>H.B.G.; formal analysis, I.A., M.E.B., E.K., Ş.K. and F.H.; investigation, I.A., D.D., E.M., B.C.Ö., M.E.B., I.B. and R.H.; resources, I.A., A.A.K. and M.E.B.; data curation, I.A., M.E.B. and E.O.B.; writing—original draft preparation, D.D., E.M. and M.E.B.; writing—review and editing, I.A., A.A.K., M.E.B., H.B.G. and R.H.; visualization, M.E.B., Ş.K. and F.H.; supervision, I.A. and A.A.K.;</w:t>
      </w:r>
      <w:r w:rsidR="00415C7B">
        <w:t xml:space="preserve"> project administration, I.A</w:t>
      </w:r>
      <w:r w:rsidR="00D752D6">
        <w:t>. All authors have read and agreed to the published version of the manuscript.</w:t>
      </w:r>
    </w:p>
    <w:p w:rsidR="007713AF" w:rsidRPr="00F64ABA" w:rsidRDefault="007713AF" w:rsidP="00517440">
      <w:pPr>
        <w:pStyle w:val="MDPI62backmatter"/>
      </w:pPr>
      <w:r w:rsidRPr="00F64ABA">
        <w:rPr>
          <w:b/>
        </w:rPr>
        <w:t>Funding:</w:t>
      </w:r>
      <w:r w:rsidRPr="00F64ABA">
        <w:t xml:space="preserve"> This research received no external funding</w:t>
      </w:r>
      <w:r w:rsidR="000304D2">
        <w:t>.</w:t>
      </w:r>
    </w:p>
    <w:p w:rsidR="00CA736E" w:rsidRPr="00F64ABA" w:rsidRDefault="00CA736E" w:rsidP="00517440">
      <w:pPr>
        <w:pStyle w:val="MDPI62backmatter"/>
      </w:pPr>
      <w:r w:rsidRPr="00F64ABA">
        <w:rPr>
          <w:b/>
        </w:rPr>
        <w:t>Data Availability Statement:</w:t>
      </w:r>
      <w:r w:rsidRPr="00F64ABA">
        <w:t xml:space="preserve"> </w:t>
      </w:r>
      <w:r w:rsidR="00EF4566" w:rsidRPr="00EF4566">
        <w:t>The data presented in this study are available on request from the corresponding author due to (specify the reason for the restriction).</w:t>
      </w:r>
    </w:p>
    <w:p w:rsidR="007713AF" w:rsidRPr="00F64ABA" w:rsidRDefault="007713AF" w:rsidP="00517440">
      <w:pPr>
        <w:pStyle w:val="MDPI62backmatter"/>
      </w:pPr>
      <w:r w:rsidRPr="00F64ABA">
        <w:rPr>
          <w:b/>
        </w:rPr>
        <w:t>Acknowledgments:</w:t>
      </w:r>
      <w:r w:rsidRPr="00F64ABA">
        <w:t xml:space="preserve"> </w:t>
      </w:r>
      <w:r w:rsidR="00647C83" w:rsidRPr="00647C83">
        <w:t xml:space="preserve">The authors thank Akavital Company for providing Gum Arabic material support. The authors also acknowledge the use of ChatGPT 5.2 (OpenAI, San Francisco, CA, USA), which helped improve the English language, grammar, and overall clarity of the article. This tool did not contribute to data analysis, interpretation, or scientific conclusions. The authors have reviewed and edited the output and take full responsibility for the content of this publication. </w:t>
      </w:r>
    </w:p>
    <w:p w:rsidR="00575A6F" w:rsidRPr="00F64ABA" w:rsidRDefault="007713AF" w:rsidP="00772B38">
      <w:pPr>
        <w:pStyle w:val="MDPI62backmatter"/>
        <w:rPr>
          <w:b/>
          <w:sz w:val="24"/>
          <w:szCs w:val="24"/>
          <w:lang w:eastAsia="de-DE"/>
        </w:rPr>
      </w:pPr>
      <w:r w:rsidRPr="00F64ABA">
        <w:rPr>
          <w:b/>
        </w:rPr>
        <w:t>Conflicts of Interest:</w:t>
      </w:r>
      <w:r w:rsidRPr="00F64ABA">
        <w:t xml:space="preserve"> The </w:t>
      </w:r>
      <w:r w:rsidR="00C96881" w:rsidRPr="00F64ABA">
        <w:t xml:space="preserve">authors declare no conflicts of </w:t>
      </w:r>
      <w:r w:rsidRPr="00F64ABA">
        <w:t>interest.</w:t>
      </w:r>
      <w:bookmarkStart w:id="1" w:name="_Hlk181004646"/>
    </w:p>
    <w:p w:rsidR="00517440" w:rsidRPr="00F64ABA" w:rsidRDefault="00517440" w:rsidP="00517440">
      <w:pPr>
        <w:pStyle w:val="MDPI21heading1"/>
        <w:rPr>
          <w:szCs w:val="24"/>
        </w:rPr>
      </w:pPr>
      <w:r w:rsidRPr="00F64ABA">
        <w:rPr>
          <w:szCs w:val="24"/>
        </w:rPr>
        <w:t>Abbreviations</w:t>
      </w:r>
    </w:p>
    <w:p w:rsidR="00517440" w:rsidRPr="00F64ABA" w:rsidRDefault="00517440" w:rsidP="00517440">
      <w:pPr>
        <w:pStyle w:val="MDPI32textnoindent"/>
        <w:spacing w:after="240"/>
        <w:rPr>
          <w:sz w:val="18"/>
          <w:szCs w:val="18"/>
        </w:rPr>
      </w:pPr>
      <w:r w:rsidRPr="00F64ABA">
        <w:rPr>
          <w:sz w:val="18"/>
          <w:szCs w:val="18"/>
        </w:rPr>
        <w:t>The following abbreviations are used in this manuscript:</w:t>
      </w:r>
    </w:p>
    <w:tbl>
      <w:tblPr>
        <w:tblStyle w:val="TabloKlavuzu"/>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547872" w:rsidRPr="00547872" w:rsidTr="00D934A6">
        <w:tc>
          <w:tcPr>
            <w:tcW w:w="936" w:type="dxa"/>
          </w:tcPr>
          <w:p w:rsidR="00547872" w:rsidRPr="00547872" w:rsidRDefault="00547872" w:rsidP="00547872">
            <w:pPr>
              <w:rPr>
                <w:sz w:val="18"/>
                <w:szCs w:val="18"/>
              </w:rPr>
            </w:pPr>
            <w:r w:rsidRPr="00547872">
              <w:rPr>
                <w:sz w:val="18"/>
                <w:szCs w:val="18"/>
              </w:rPr>
              <w:t xml:space="preserve">AD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Atopic Dermatitis</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BHI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Brain Heart Infusion</w:t>
            </w:r>
          </w:p>
        </w:tc>
      </w:tr>
      <w:tr w:rsidR="00547872" w:rsidRPr="00547872" w:rsidTr="00D934A6">
        <w:tc>
          <w:tcPr>
            <w:tcW w:w="936" w:type="dxa"/>
          </w:tcPr>
          <w:p w:rsidR="00547872" w:rsidRPr="00547872" w:rsidRDefault="00547872" w:rsidP="00547872">
            <w:pPr>
              <w:rPr>
                <w:sz w:val="18"/>
                <w:szCs w:val="18"/>
              </w:rPr>
            </w:pPr>
            <w:r w:rsidRPr="00547872">
              <w:rPr>
                <w:sz w:val="18"/>
                <w:szCs w:val="18"/>
              </w:rPr>
              <w:t>CFU</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Colony-Forming Unit</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DoE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Design of Experiments</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FDA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U.S. Food and Drug Administration</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FLG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Filaggrin</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GA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Gum Arabic (Acacia gum)</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HDAC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Histone Deacetylase</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HPC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Hydrogenated Phosphatidylcholine</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HPLC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High-Performance Liquid Chromatography</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IPM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Isopropyl Myristate</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IVRT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In Vitro Release Testing</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MDR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Multidrug-Resistant</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MIC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Minimum Inhibitory Concentration</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MRS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De Man-Rogosa-Sharpe</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NA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Nutrient Agar</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NF-κB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Nuclear Factor kappa-light-chain-enhancer of activated B cells</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OA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Oleic Acid</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PG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Propylene Glycol</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PMP </w:t>
            </w:r>
          </w:p>
        </w:tc>
        <w:tc>
          <w:tcPr>
            <w:tcW w:w="6921" w:type="dxa"/>
          </w:tcPr>
          <w:p w:rsidR="00547872" w:rsidRPr="00547872" w:rsidRDefault="00547872" w:rsidP="00547872">
            <w:pPr>
              <w:spacing w:line="240" w:lineRule="auto"/>
              <w:rPr>
                <w:rFonts w:eastAsia="Times New Roman"/>
                <w:sz w:val="18"/>
                <w:szCs w:val="18"/>
              </w:rPr>
            </w:pPr>
            <w:r w:rsidRPr="00547872">
              <w:rPr>
                <w:rFonts w:eastAsia="Times New Roman"/>
                <w:sz w:val="18"/>
                <w:szCs w:val="18"/>
                <w:lang w:eastAsia="tr-TR"/>
              </w:rPr>
              <w:t>1-phenyl-3-methyl-5-pyrazolone</w:t>
            </w:r>
          </w:p>
        </w:tc>
      </w:tr>
      <w:tr w:rsidR="00547872" w:rsidRPr="00547872" w:rsidTr="00D934A6">
        <w:tc>
          <w:tcPr>
            <w:tcW w:w="936" w:type="dxa"/>
          </w:tcPr>
          <w:p w:rsidR="00547872" w:rsidRPr="00547872" w:rsidRDefault="00547872" w:rsidP="00547872">
            <w:pPr>
              <w:rPr>
                <w:sz w:val="18"/>
                <w:szCs w:val="18"/>
              </w:rPr>
            </w:pPr>
            <w:r w:rsidRPr="00547872">
              <w:rPr>
                <w:sz w:val="18"/>
                <w:szCs w:val="18"/>
              </w:rPr>
              <w:t xml:space="preserve">SCFA </w:t>
            </w:r>
          </w:p>
        </w:tc>
        <w:tc>
          <w:tcPr>
            <w:tcW w:w="6921" w:type="dxa"/>
          </w:tcPr>
          <w:p w:rsidR="00547872" w:rsidRPr="00547872" w:rsidRDefault="00547872" w:rsidP="00547872">
            <w:pPr>
              <w:rPr>
                <w:sz w:val="18"/>
                <w:szCs w:val="18"/>
              </w:rPr>
            </w:pPr>
            <w:r w:rsidRPr="00547872">
              <w:rPr>
                <w:rFonts w:eastAsia="Times New Roman"/>
                <w:sz w:val="18"/>
                <w:szCs w:val="18"/>
                <w:lang w:eastAsia="tr-TR"/>
              </w:rPr>
              <w:t>Short-Chain Fatty Acid</w:t>
            </w:r>
          </w:p>
        </w:tc>
      </w:tr>
    </w:tbl>
    <w:bookmarkEnd w:id="1"/>
    <w:p w:rsidR="007713AF" w:rsidRPr="00F64ABA" w:rsidRDefault="007713AF" w:rsidP="00517440">
      <w:pPr>
        <w:pStyle w:val="MDPI21heading1"/>
        <w:ind w:left="0"/>
      </w:pPr>
      <w:r w:rsidRPr="00F64ABA">
        <w:t>References</w:t>
      </w:r>
    </w:p>
    <w:p w:rsidR="00BC5E3F" w:rsidRDefault="00BC5E3F" w:rsidP="00BC5E3F">
      <w:pPr>
        <w:pStyle w:val="MDPI81references"/>
        <w:numPr>
          <w:ilvl w:val="0"/>
          <w:numId w:val="3"/>
        </w:numPr>
      </w:pPr>
      <w:r>
        <w:t>Tang, H., Li, W., Xu, Y., Zhou, Y., Hamblin, M. R., &amp; Wen, X. (2025). Gut microbiota modulation: a key determinant of atopic dermatitis susceptibility in children. Frontiers in Microbiology, 16, 1549895.</w:t>
      </w:r>
    </w:p>
    <w:p w:rsidR="00BC5E3F" w:rsidRDefault="00BC5E3F" w:rsidP="00BC5E3F">
      <w:pPr>
        <w:pStyle w:val="MDPI81references"/>
        <w:numPr>
          <w:ilvl w:val="0"/>
          <w:numId w:val="3"/>
        </w:numPr>
      </w:pPr>
      <w:r>
        <w:t>Wrześniewska, M., Wołoszczak, J., Świrkosz, G., Szyller, H., &amp; Gomułka, K. (2024). The role of the microbiota in the pathogenesis and treatment of atopic dermatitis—A literature review. International Journal of Molecular Sciences, 25(12), 6539.</w:t>
      </w:r>
    </w:p>
    <w:p w:rsidR="00BC5E3F" w:rsidRDefault="00BC5E3F" w:rsidP="00BC5E3F">
      <w:pPr>
        <w:pStyle w:val="MDPI81references"/>
        <w:numPr>
          <w:ilvl w:val="0"/>
          <w:numId w:val="3"/>
        </w:numPr>
      </w:pPr>
      <w:r>
        <w:lastRenderedPageBreak/>
        <w:t>Al-Behadliy, N. K., Al-Wazni, W. S., &amp; Alwan, A. H. (2020). Evaluation of some biological activities of Arabic gum (Sengalia senegal) aqueous extract in vivo and in-vitro. AIP Conference Proceedings, 2290(1), 020021.</w:t>
      </w:r>
    </w:p>
    <w:p w:rsidR="00BC5E3F" w:rsidRDefault="00BC5E3F" w:rsidP="00BC5E3F">
      <w:pPr>
        <w:pStyle w:val="MDPI81references"/>
        <w:numPr>
          <w:ilvl w:val="0"/>
          <w:numId w:val="3"/>
        </w:numPr>
      </w:pPr>
      <w:r>
        <w:t>Hoskinson, C., Medeleanu, M. V., Reyna, M. E., Dai, D. L., Chowdhury, B., Moraes, T. J., ... &amp; Subbarao, P. (2024). Antibiotics taken within the first year of life are linked to infant gut microbiome disruption and elevated atopic dermatitis risk. Journal of Allergy and Clinical Immunology, 154(1), 131-142.</w:t>
      </w:r>
    </w:p>
    <w:p w:rsidR="00BC5E3F" w:rsidRDefault="00BC5E3F" w:rsidP="00BC5E3F">
      <w:pPr>
        <w:pStyle w:val="MDPI81references"/>
        <w:numPr>
          <w:ilvl w:val="0"/>
          <w:numId w:val="3"/>
        </w:numPr>
      </w:pPr>
      <w:r>
        <w:t>Azad, M. B., Konya, T., Maughan, H., Guttman, D. S., Field, C. J., Chari, R. S., Sears, M. R., Becker, A. B., Scott, J. A., Kozyrskyj, A. L., &amp; CHILD Study Investigators. (2013). Gut microbiota of healthy Canadian infants: Profiles by mode of delivery and infant diet at 4 months. CMAJ, 185(5), 385–394.</w:t>
      </w:r>
    </w:p>
    <w:p w:rsidR="00BC5E3F" w:rsidRDefault="00BC5E3F" w:rsidP="00BC5E3F">
      <w:pPr>
        <w:pStyle w:val="MDPI81references"/>
        <w:numPr>
          <w:ilvl w:val="0"/>
          <w:numId w:val="3"/>
        </w:numPr>
      </w:pPr>
      <w:r>
        <w:t>Jernberg, C., Lofmark, S., Edlund, C., &amp; Jansson, J. K. (2010). Long-term impacts of antibiotic exposure on the human intestinal microbiota. Microbiology, 156(11), 3216-3223.</w:t>
      </w:r>
    </w:p>
    <w:p w:rsidR="00BC5E3F" w:rsidRDefault="00BC5E3F" w:rsidP="00BC5E3F">
      <w:pPr>
        <w:pStyle w:val="MDPI81references"/>
        <w:numPr>
          <w:ilvl w:val="0"/>
          <w:numId w:val="3"/>
        </w:numPr>
      </w:pPr>
      <w:r>
        <w:t>Round, J. L., &amp; Mazmanian, S. K. (2009). The gut microbiota shapes intestinal immune responses during health and disease. Nature Reviews Immunology, 9(5), 313-323.</w:t>
      </w:r>
    </w:p>
    <w:p w:rsidR="00BC5E3F" w:rsidRDefault="00BC5E3F" w:rsidP="00BC5E3F">
      <w:pPr>
        <w:pStyle w:val="MDPI81references"/>
        <w:numPr>
          <w:ilvl w:val="0"/>
          <w:numId w:val="3"/>
        </w:numPr>
      </w:pPr>
      <w:r>
        <w:t>Thaiss, C. A., Zmora, N., Levy, M., &amp; Elinav, E. (2016). The microbiome and innate immunity. Nature, 535(7610), 65-74.</w:t>
      </w:r>
    </w:p>
    <w:p w:rsidR="00BC5E3F" w:rsidRDefault="00BC5E3F" w:rsidP="00BC5E3F">
      <w:pPr>
        <w:pStyle w:val="MDPI81references"/>
        <w:numPr>
          <w:ilvl w:val="0"/>
          <w:numId w:val="3"/>
        </w:numPr>
      </w:pPr>
      <w:r>
        <w:t>Russell, S. L., Gold, M. J., Hartmann, M., Willing, B. P., Thorson, L., Wlodarska, M., Gill, N., Blanchet, M.-R., Mohn, W. W., McNagny, K. M., &amp; Finlay, B. B. (2012). Early life antibiotic-driven changes in microbiota enhance susceptibility to allergic asthma. EMBO Reports, 13(5), 440–447.</w:t>
      </w:r>
    </w:p>
    <w:p w:rsidR="00BC5E3F" w:rsidRDefault="00BC5E3F" w:rsidP="00BC5E3F">
      <w:pPr>
        <w:pStyle w:val="MDPI81references"/>
        <w:numPr>
          <w:ilvl w:val="0"/>
          <w:numId w:val="3"/>
        </w:numPr>
      </w:pPr>
      <w:r>
        <w:t>Lee, E., Lee, S. Y., Kang, M. J., Kim, K., Won, S., Kim, B. J., Choi, K. Y., Kim, B. S., Cho, H. J., Kim, Y., Yang, S. I., &amp; Hong, S. J. (2016). Clostridia in the gut and onset of atopic dermatitis via eosinophilic inflammation. Annals of Allergy, Asthma &amp; Immunology, 117(1), 91–92.e1.</w:t>
      </w:r>
    </w:p>
    <w:p w:rsidR="00BC5E3F" w:rsidRDefault="00BC5E3F" w:rsidP="00BC5E3F">
      <w:pPr>
        <w:pStyle w:val="MDPI81references"/>
        <w:numPr>
          <w:ilvl w:val="0"/>
          <w:numId w:val="3"/>
        </w:numPr>
      </w:pPr>
      <w:r>
        <w:t>Metsälä, J., Lundqvist, A., Virta, L. J., Kaila, M., Gissler, M., &amp; Virtanen, S. M. (2013). Mother’s and offspring’s use of antibiotics and infant allergy to cow’s milk. Epidemiology, 24(2), 303–309.</w:t>
      </w:r>
    </w:p>
    <w:p w:rsidR="00BC5E3F" w:rsidRDefault="00BC5E3F" w:rsidP="00BC5E3F">
      <w:pPr>
        <w:pStyle w:val="MDPI81references"/>
        <w:numPr>
          <w:ilvl w:val="0"/>
          <w:numId w:val="3"/>
        </w:numPr>
      </w:pPr>
      <w:r>
        <w:t>Penders, J., Kummeling, I., &amp; Thijs, C. (2011). Infant antibiotic use and wheeze and asthma risk: A systematic review and meta-analysis. European Respiratory Journal, 38(2), 295–302.</w:t>
      </w:r>
    </w:p>
    <w:p w:rsidR="00BC5E3F" w:rsidRDefault="00BC5E3F" w:rsidP="00BC5E3F">
      <w:pPr>
        <w:pStyle w:val="MDPI81references"/>
        <w:numPr>
          <w:ilvl w:val="0"/>
          <w:numId w:val="3"/>
        </w:numPr>
      </w:pPr>
      <w:r>
        <w:t>Brown, S. J., &amp; McLean, W. H. I. (2023). One remarkable molecule: Filaggrin. Journal of Investigative Dermatology, 143(5), 795–803.</w:t>
      </w:r>
    </w:p>
    <w:p w:rsidR="00BC5E3F" w:rsidRDefault="00BC5E3F" w:rsidP="00BC5E3F">
      <w:pPr>
        <w:pStyle w:val="MDPI81references"/>
        <w:numPr>
          <w:ilvl w:val="0"/>
          <w:numId w:val="3"/>
        </w:numPr>
      </w:pPr>
      <w:r>
        <w:t>Langan, S. M., Irvine, A. D., &amp; Weidinger, S. (2024). Atopic dermatitis. The Lancet, 403(10428), 345–357.</w:t>
      </w:r>
    </w:p>
    <w:p w:rsidR="00BC5E3F" w:rsidRDefault="00BC5E3F" w:rsidP="00BC5E3F">
      <w:pPr>
        <w:pStyle w:val="MDPI81references"/>
        <w:numPr>
          <w:ilvl w:val="0"/>
          <w:numId w:val="3"/>
        </w:numPr>
      </w:pPr>
      <w:r>
        <w:t>Paller, A. S., Kong, H. H., Seed, P., et al. (2023). The microbiome in patients with atopic dermatitis. Journal of Allergy and Clinical Immunology, 151(1), 30–40.</w:t>
      </w:r>
    </w:p>
    <w:p w:rsidR="00BC5E3F" w:rsidRDefault="00BC5E3F" w:rsidP="00BC5E3F">
      <w:pPr>
        <w:pStyle w:val="MDPI81references"/>
        <w:numPr>
          <w:ilvl w:val="0"/>
          <w:numId w:val="3"/>
        </w:numPr>
      </w:pPr>
      <w:r>
        <w:t>Weidinger, S., &amp; Novak, N. (2023). Atopic dermatitis. The Lancet, 401(10389), 110–122.</w:t>
      </w:r>
    </w:p>
    <w:p w:rsidR="00BC5E3F" w:rsidRDefault="00BC5E3F" w:rsidP="00BC5E3F">
      <w:pPr>
        <w:pStyle w:val="MDPI81references"/>
        <w:numPr>
          <w:ilvl w:val="0"/>
          <w:numId w:val="3"/>
        </w:numPr>
      </w:pPr>
      <w:r>
        <w:t>Furusawa, Y., Obata, Y., Fukuda, S., et al. (2013). Commensal microbe-derived butyrate induces the differentiation of colonic regulatory T cells. Nature, 504(7480), 446–450.</w:t>
      </w:r>
    </w:p>
    <w:p w:rsidR="00BC5E3F" w:rsidRDefault="00BC5E3F" w:rsidP="00BC5E3F">
      <w:pPr>
        <w:pStyle w:val="MDPI81references"/>
        <w:numPr>
          <w:ilvl w:val="0"/>
          <w:numId w:val="3"/>
        </w:numPr>
      </w:pPr>
      <w:r>
        <w:t>Tan, J., McKenzie, C., Potamitis, M., et al. (2024). The role of short-chain fatty acids in immune regulation and inflammatory disease. Nature Reviews Immunology, 24(1), 35–50.</w:t>
      </w:r>
    </w:p>
    <w:p w:rsidR="00BC5E3F" w:rsidRDefault="00BC5E3F" w:rsidP="00BC5E3F">
      <w:pPr>
        <w:pStyle w:val="MDPI81references"/>
        <w:numPr>
          <w:ilvl w:val="0"/>
          <w:numId w:val="3"/>
        </w:numPr>
      </w:pPr>
      <w:r>
        <w:t>Zhang, Y., Li, X., Chen, Z., et al. (2023). MicroRNA dysregulation in atopic dermatitis and its immunological implications. Allergy, 78(9), 2401–2415.</w:t>
      </w:r>
    </w:p>
    <w:p w:rsidR="00BC5E3F" w:rsidRDefault="00BC5E3F" w:rsidP="00BC5E3F">
      <w:pPr>
        <w:pStyle w:val="MDPI81references"/>
        <w:numPr>
          <w:ilvl w:val="0"/>
          <w:numId w:val="3"/>
        </w:numPr>
      </w:pPr>
      <w:r>
        <w:t>Trompette, A., Gollwitzer, E. S., Yadava, K., Sichelstiel, A. K., Sprenger, N., Ngom-Bru, C., ... &amp; Marsland, B. J. (2014). Gut microbiota metabolism of dietary fiber influences allergic airway disease and hematopoiesis. Nature medicine, 20(2), 159-166.</w:t>
      </w:r>
    </w:p>
    <w:p w:rsidR="00BC5E3F" w:rsidRDefault="00BC5E3F" w:rsidP="00BC5E3F">
      <w:pPr>
        <w:pStyle w:val="MDPI81references"/>
        <w:numPr>
          <w:ilvl w:val="0"/>
          <w:numId w:val="3"/>
        </w:numPr>
      </w:pPr>
      <w:r>
        <w:t>Salem, I., Ramser, A., Isham, N., &amp; Ghannoum, M. A. (2018). The gut microbiome as a major regulator of the gut-skin axis. Front Microbiol, 9, 1459.</w:t>
      </w:r>
    </w:p>
    <w:p w:rsidR="00BC5E3F" w:rsidRDefault="00BC5E3F" w:rsidP="00BC5E3F">
      <w:pPr>
        <w:pStyle w:val="MDPI81references"/>
        <w:numPr>
          <w:ilvl w:val="0"/>
          <w:numId w:val="3"/>
        </w:numPr>
      </w:pPr>
      <w:r>
        <w:t>Nakatsuji, T., Chen, T. H., Butcher, A. M., et al. (2023). Staphylococcus aureus exploitation of epidermal barrier defects in atopic dermatitis. Journal of Allergy and Clinical Immunology, 151(2), 402–414.</w:t>
      </w:r>
    </w:p>
    <w:p w:rsidR="00BC5E3F" w:rsidRDefault="00BC5E3F" w:rsidP="00BC5E3F">
      <w:pPr>
        <w:pStyle w:val="MDPI81references"/>
        <w:numPr>
          <w:ilvl w:val="0"/>
          <w:numId w:val="3"/>
        </w:numPr>
      </w:pPr>
      <w:r>
        <w:t>Markowiak-Kopeć, P., &amp; Śliżewska, K. (2024). The effect of probiotics and prebiotics on biofilm formation and pathogen inhibition. International Journal of Molecular Sciences, 25(3), 1452.</w:t>
      </w:r>
    </w:p>
    <w:p w:rsidR="00BC5E3F" w:rsidRDefault="00BC5E3F" w:rsidP="00BC5E3F">
      <w:pPr>
        <w:pStyle w:val="MDPI81references"/>
        <w:numPr>
          <w:ilvl w:val="0"/>
          <w:numId w:val="3"/>
        </w:numPr>
      </w:pPr>
      <w:r>
        <w:t>Elnour, A. A. M., Nour, A. H., &amp; Ishag, K. E. A. (2025). Biological Applications of Secondary Metabolites Extract (SME) from Acacia Gums (AGs). In Gum Arabic and Breast Cancer Biology (pp. 117-167). Springer Nature Singapore.</w:t>
      </w:r>
    </w:p>
    <w:p w:rsidR="00BC5E3F" w:rsidRDefault="00BC5E3F" w:rsidP="00BC5E3F">
      <w:pPr>
        <w:pStyle w:val="MDPI81references"/>
        <w:numPr>
          <w:ilvl w:val="0"/>
          <w:numId w:val="3"/>
        </w:numPr>
      </w:pPr>
      <w:r>
        <w:t>Adhikari, D., &amp; Rangra, N. K. (2023). Antimicrobial activities of the Acacia genus: A review. Asian Pacific Journal of Tropical Biomedicine, 13(2), 45-59.</w:t>
      </w:r>
    </w:p>
    <w:p w:rsidR="00BC5E3F" w:rsidRDefault="00BC5E3F" w:rsidP="00BC5E3F">
      <w:pPr>
        <w:pStyle w:val="MDPI81references"/>
        <w:numPr>
          <w:ilvl w:val="0"/>
          <w:numId w:val="3"/>
        </w:numPr>
      </w:pPr>
      <w:r>
        <w:t>Cebeci, E., Yüksel, B., Aliusta, R., Yılmaz, Ş., Bursalıoğlu, E. O., Bozyel, M. E., ... &amp; Aslan, I. (2026). Gum Arabic modulates redox–ionic microenvironments via rheology and kinetics to induce selective cytotoxicity in colorectal cancer cells. Gels, 12(2), 139.</w:t>
      </w:r>
    </w:p>
    <w:p w:rsidR="00BC5E3F" w:rsidRDefault="00BC5E3F" w:rsidP="00BC5E3F">
      <w:pPr>
        <w:pStyle w:val="MDPI81references"/>
        <w:numPr>
          <w:ilvl w:val="0"/>
          <w:numId w:val="3"/>
        </w:numPr>
      </w:pPr>
      <w:r>
        <w:lastRenderedPageBreak/>
        <w:t>Khirani, S. (2024). The biological activities and phytochemical investigations of acacia Senegal's aqueous extracts of gum Arabic. Brazilian Applied Science Review, 8(2), 558–571.</w:t>
      </w:r>
    </w:p>
    <w:p w:rsidR="00BC5E3F" w:rsidRDefault="00BC5E3F" w:rsidP="00BC5E3F">
      <w:pPr>
        <w:pStyle w:val="MDPI81references"/>
        <w:numPr>
          <w:ilvl w:val="0"/>
          <w:numId w:val="3"/>
        </w:numPr>
      </w:pPr>
      <w:r>
        <w:t>Al Alawi, S. M., Hossain, M. A., &amp; Abusham, A. A. (2018). Antimicrobial and cytotoxic comparative study of different extracts of Omani and Sudanese Gum acacia. Beni-Suef University Journal of Basic and Applied Sciences, 7(1), 22–26.</w:t>
      </w:r>
    </w:p>
    <w:p w:rsidR="00BC5E3F" w:rsidRDefault="00BC5E3F" w:rsidP="00BC5E3F">
      <w:pPr>
        <w:pStyle w:val="MDPI81references"/>
        <w:numPr>
          <w:ilvl w:val="0"/>
          <w:numId w:val="3"/>
        </w:numPr>
      </w:pPr>
      <w:r>
        <w:t>Mahendran, T., Williams, P. A., Phillips, G. O., Al-Assaf, S., &amp; Baldwin, T. C. (2008). New insights into the structural characteristics of the arabinogalactan-protein (AGP) fraction of gum Arabic. Journal of Agricultural and Food Chemistry, 56(19), 9269–9276.</w:t>
      </w:r>
    </w:p>
    <w:p w:rsidR="00BC5E3F" w:rsidRDefault="00BC5E3F" w:rsidP="00BC5E3F">
      <w:pPr>
        <w:pStyle w:val="MDPI81references"/>
        <w:numPr>
          <w:ilvl w:val="0"/>
          <w:numId w:val="3"/>
        </w:numPr>
      </w:pPr>
      <w:r>
        <w:t>Ahallil, H., Maskat, M. Y., Abdullah, A., &amp; Sarbini, S. R. (2020). The effect of Acacia senegal as a potential prebiotic on obese gut microbiota. Food Research, 4(3), 814–822.</w:t>
      </w:r>
    </w:p>
    <w:p w:rsidR="00BC5E3F" w:rsidRDefault="00BC5E3F" w:rsidP="00BC5E3F">
      <w:pPr>
        <w:pStyle w:val="MDPI81references"/>
        <w:numPr>
          <w:ilvl w:val="0"/>
          <w:numId w:val="3"/>
        </w:numPr>
      </w:pPr>
      <w:r>
        <w:t>Bhola, J., &amp; Bhadekar, R. (2025). Enhancing antimicrobial efficacy: Gum acacia-enriched Lactobacillus consortium against multidrug-resistant pathogens. Medicine in Microecology, 25, 100132.</w:t>
      </w:r>
    </w:p>
    <w:p w:rsidR="00BC5E3F" w:rsidRDefault="00BC5E3F" w:rsidP="00BC5E3F">
      <w:pPr>
        <w:pStyle w:val="MDPI81references"/>
        <w:numPr>
          <w:ilvl w:val="0"/>
          <w:numId w:val="3"/>
        </w:numPr>
      </w:pPr>
      <w:r>
        <w:t>Mohammad, S., Karim, M. R., Iqbal, S., Lee, J. H., Mathiyalagan, R., Kim, Y. J., ... &amp; Yang, D. C. (2024). Atopic dermatitis: pathophysiology, microbiota, and metabolome–a comprehensive review. Microbiological Research, 281, 127595.</w:t>
      </w:r>
    </w:p>
    <w:p w:rsidR="00BC5E3F" w:rsidRDefault="00BC5E3F" w:rsidP="00BC5E3F">
      <w:pPr>
        <w:pStyle w:val="MDPI81references"/>
        <w:numPr>
          <w:ilvl w:val="0"/>
          <w:numId w:val="3"/>
        </w:numPr>
      </w:pPr>
      <w:r>
        <w:t>Avşar, İ. S., Doğanay, D., &amp; Mertoğlu, E. (2025). Investigation of the combinatorial effects of metformin and selected antibiotics on Klebsiella pneumoniae. Journal of Immunology and Clinical Microbiology, 10(4), 85–93.</w:t>
      </w:r>
    </w:p>
    <w:p w:rsidR="00BC5E3F" w:rsidRDefault="00BC5E3F" w:rsidP="00BC5E3F">
      <w:pPr>
        <w:pStyle w:val="MDPI81references"/>
        <w:numPr>
          <w:ilvl w:val="0"/>
          <w:numId w:val="3"/>
        </w:numPr>
      </w:pPr>
      <w:r>
        <w:t>Aslan, İ., &amp; Tarhan Çelebi, L. (2023). Postbiotics cosmetic formulation: In vitro efficacy studies on a microbiome friendly antiperspirant. Journal of Research in Pharmacy, 27(5), 2095–2105.</w:t>
      </w:r>
    </w:p>
    <w:p w:rsidR="00BC5E3F" w:rsidRDefault="00BC5E3F" w:rsidP="00BC5E3F">
      <w:pPr>
        <w:pStyle w:val="MDPI81references"/>
        <w:numPr>
          <w:ilvl w:val="0"/>
          <w:numId w:val="3"/>
        </w:numPr>
      </w:pPr>
      <w:r>
        <w:t>Gökçe, H. B., &amp; Aslan, İ. (2024). Novel liposome–gel formulations containing a next generation postbiotic: Characterization, rheological stability, release kinetics, and in vitro antimicrobial activity studies. Gels, 10(11), 746.</w:t>
      </w:r>
    </w:p>
    <w:p w:rsidR="00BC5E3F" w:rsidRDefault="00BC5E3F" w:rsidP="00BC5E3F">
      <w:pPr>
        <w:pStyle w:val="MDPI81references"/>
        <w:numPr>
          <w:ilvl w:val="0"/>
          <w:numId w:val="3"/>
        </w:numPr>
      </w:pPr>
      <w:r>
        <w:t>Aslan, İ., &amp; Aytekin, A. F. (2023). Production and characterization of newly developed alcohol-free topical liposome-gel transdermal drug delivery systems containing estradiol (E2)/estriol (E3) for post-menopausal women. Journal of Research in Pharmacy, 27(5), 2190–2198.</w:t>
      </w:r>
    </w:p>
    <w:p w:rsidR="00BC5E3F" w:rsidRDefault="00BC5E3F" w:rsidP="00BC5E3F">
      <w:pPr>
        <w:pStyle w:val="MDPI81references"/>
        <w:numPr>
          <w:ilvl w:val="0"/>
          <w:numId w:val="3"/>
        </w:numPr>
      </w:pPr>
      <w:r>
        <w:t>Özdemir, M. N., Bursalıoğlu, E. O., Doğanay, D., Kurt, A. A., &amp; Aslan, İ. (2025). Antimicrobial activity studies of encapsulated hemp seed oil. Journal of Immunology and Clinical Microbiology, 10(4), 94–107.</w:t>
      </w:r>
    </w:p>
    <w:p w:rsidR="00BC5E3F" w:rsidRDefault="00BC5E3F" w:rsidP="00BC5E3F">
      <w:pPr>
        <w:pStyle w:val="MDPI81references"/>
        <w:numPr>
          <w:ilvl w:val="0"/>
          <w:numId w:val="3"/>
        </w:numPr>
      </w:pPr>
      <w:r>
        <w:t>Kalay, Ş., Güler, G., Şallı, E., &amp; Bozyel, M. E. (2025). Development, characterization and antimicrobial potential of a new natural based sunscreen formulation. Journal of Immunology and Clinical Microbiology, 10(4), 108–120.</w:t>
      </w:r>
    </w:p>
    <w:p w:rsidR="00BC5E3F" w:rsidRDefault="00BC5E3F" w:rsidP="00BC5E3F">
      <w:pPr>
        <w:pStyle w:val="MDPI81references"/>
        <w:numPr>
          <w:ilvl w:val="0"/>
          <w:numId w:val="3"/>
        </w:numPr>
      </w:pPr>
      <w:r>
        <w:t>Neu, H. C. (1991). Clinical microbiology of azithromycin. The American Journal of Medicine, 91(3), S12-S18.</w:t>
      </w:r>
    </w:p>
    <w:p w:rsidR="00BC5E3F" w:rsidRDefault="00BC5E3F" w:rsidP="00BC5E3F">
      <w:pPr>
        <w:pStyle w:val="MDPI81references"/>
        <w:numPr>
          <w:ilvl w:val="0"/>
          <w:numId w:val="3"/>
        </w:numPr>
      </w:pPr>
      <w:r>
        <w:t>Rychen, G., Aquilina, G., Azimonti, G., Bampidis, V., de Lourdes Bastos, M., Bories, G., ... &amp; Galobart, J. (2018). Guidance on the characterisation of microorganisms used as feed additives or as production organisms. EFSA Journal, 16(3).</w:t>
      </w:r>
    </w:p>
    <w:p w:rsidR="00BC5E3F" w:rsidRDefault="00BC5E3F" w:rsidP="00BC5E3F">
      <w:pPr>
        <w:pStyle w:val="MDPI81references"/>
        <w:numPr>
          <w:ilvl w:val="0"/>
          <w:numId w:val="3"/>
        </w:numPr>
      </w:pPr>
      <w:r>
        <w:t>Clinical and Laboratory Standards Institute (CLSI). (2023). Performance Standards for Antimicrobial Susceptibility Testing (CLSI supplement M100). Wayne, PA.</w:t>
      </w:r>
    </w:p>
    <w:p w:rsidR="00BC5E3F" w:rsidRDefault="00BC5E3F" w:rsidP="00BC5E3F">
      <w:pPr>
        <w:pStyle w:val="MDPI81references"/>
        <w:numPr>
          <w:ilvl w:val="0"/>
          <w:numId w:val="3"/>
        </w:numPr>
      </w:pPr>
      <w:r>
        <w:t>U.S. Food and Drug Administration. (2022). In vitro release test studies for topical drug products submitted in ANDAs: Guidance for industry (Draft guidance). Center for Drug Evaluation and Research.</w:t>
      </w:r>
    </w:p>
    <w:p w:rsidR="00BC5E3F" w:rsidRDefault="00BC5E3F" w:rsidP="00BC5E3F">
      <w:pPr>
        <w:pStyle w:val="MDPI81references"/>
        <w:numPr>
          <w:ilvl w:val="0"/>
          <w:numId w:val="3"/>
        </w:numPr>
      </w:pPr>
      <w:r>
        <w:t>United States Pharmacopeia. (2023). &lt;1724&gt; Semisolid drug products—Performance tests. USP–NF.</w:t>
      </w:r>
    </w:p>
    <w:p w:rsidR="00BC5E3F" w:rsidRDefault="00BC5E3F" w:rsidP="00BC5E3F">
      <w:pPr>
        <w:pStyle w:val="MDPI81references"/>
        <w:numPr>
          <w:ilvl w:val="0"/>
          <w:numId w:val="3"/>
        </w:numPr>
      </w:pPr>
      <w:r>
        <w:t>Kanfer, I., Rath, S., Purazi, P., &amp; Mudyahoto, N. A. (2017). In vitro release testing of semi-solid dosage forms. Dissolution Technologies, 24(3), 52–60.</w:t>
      </w:r>
    </w:p>
    <w:p w:rsidR="00BC5E3F" w:rsidRDefault="00BC5E3F" w:rsidP="00BC5E3F">
      <w:pPr>
        <w:pStyle w:val="MDPI81references"/>
        <w:numPr>
          <w:ilvl w:val="0"/>
          <w:numId w:val="3"/>
        </w:numPr>
      </w:pPr>
      <w:r>
        <w:t>Fujii, M., Shiozawa, K., Watanabe, Y., &amp; Matsumoto, M. (2001). Effect of phosphatidylcholine on skin permeation of indomethacin from gel prepared with liquid paraffin and hydrogenated phospholipid. International Journal of Pharmaceutics, 222, 57–64.</w:t>
      </w:r>
    </w:p>
    <w:p w:rsidR="00BC5E3F" w:rsidRDefault="00BC5E3F" w:rsidP="00BC5E3F">
      <w:pPr>
        <w:pStyle w:val="MDPI81references"/>
        <w:numPr>
          <w:ilvl w:val="0"/>
          <w:numId w:val="3"/>
        </w:numPr>
      </w:pPr>
      <w:r>
        <w:t>Manca, M. L., Cencetti, C., Matricardi, P., Castangia, I., Zaru, M., Diez-Sales, O., Nacher, A., Valenti, D., Maccioni, A. M., Fadda, A. M., &amp; Manconi, M. (2016). Glycerosomes: Use of hydrogenated soy phosphatidylcholine mixture and its effect on vesicle features and diclofenac skin penetration. International Journal of Pharmaceutics, 511, 198–204.</w:t>
      </w:r>
    </w:p>
    <w:p w:rsidR="00BC5E3F" w:rsidRDefault="00BC5E3F" w:rsidP="00BC5E3F">
      <w:pPr>
        <w:pStyle w:val="MDPI81references"/>
        <w:numPr>
          <w:ilvl w:val="0"/>
          <w:numId w:val="3"/>
        </w:numPr>
      </w:pPr>
      <w:r>
        <w:t>Naik, A., Pechtold, L. A. R. M., Potts, R. O., &amp; Guy, R. H. (1995). Mechanism of oleic acid-induced skin penetration enhancement in vivo in humans. Journal of Controlled Release, 37, 299–306.</w:t>
      </w:r>
    </w:p>
    <w:p w:rsidR="00BC5E3F" w:rsidRDefault="00BC5E3F" w:rsidP="00BC5E3F">
      <w:pPr>
        <w:pStyle w:val="MDPI81references"/>
        <w:numPr>
          <w:ilvl w:val="0"/>
          <w:numId w:val="3"/>
        </w:numPr>
      </w:pPr>
      <w:r>
        <w:t>Rowat, A. C., Kitson, N., &amp; Thewalt, J. L. (2006). Interactions of oleic acid and model stratum corneum membranes as seen by 2H NMR. International Journal of Pharmaceutics, 307, 225–231.</w:t>
      </w:r>
    </w:p>
    <w:p w:rsidR="00BC5E3F" w:rsidRDefault="00BC5E3F" w:rsidP="00BC5E3F">
      <w:pPr>
        <w:pStyle w:val="MDPI81references"/>
        <w:numPr>
          <w:ilvl w:val="0"/>
          <w:numId w:val="3"/>
        </w:numPr>
      </w:pPr>
      <w:r>
        <w:t>Haque, T., &amp; Talukder, M. M. U. (2018). Chemical enhancer: A simplistic way to modulate barrier function of the stratum corneum. Advanced Pharmaceutical Bulletin, 8(2), 169–179.</w:t>
      </w:r>
    </w:p>
    <w:p w:rsidR="00BC5E3F" w:rsidRDefault="00BC5E3F" w:rsidP="00BC5E3F">
      <w:pPr>
        <w:pStyle w:val="MDPI81references"/>
        <w:numPr>
          <w:ilvl w:val="0"/>
          <w:numId w:val="3"/>
        </w:numPr>
      </w:pPr>
      <w:r>
        <w:t>ASTM International. (2020). Standard test methods for rheological properties of non-Newtonian materials by rotational (Brookfield-type) viscometer (ASTM D2196-20). ASTM International.</w:t>
      </w:r>
    </w:p>
    <w:p w:rsidR="00BC5E3F" w:rsidRDefault="00BC5E3F" w:rsidP="00BC5E3F">
      <w:pPr>
        <w:pStyle w:val="MDPI81references"/>
        <w:numPr>
          <w:ilvl w:val="0"/>
          <w:numId w:val="3"/>
        </w:numPr>
      </w:pPr>
      <w:r>
        <w:lastRenderedPageBreak/>
        <w:t>Zueva, O. S., Klimovitskaya, M. A., Skvortsova, P. V., Khair, T., Kazantseva, D. A., Abakumova, Y., &amp; Gromova, N. R. (2025). Supramolecular structure and complexation of gum Arabic in aqueous solutions: What determines its protective functions in nature and technologies? Macromol, 5(4), 49.</w:t>
      </w:r>
    </w:p>
    <w:p w:rsidR="00BC5E3F" w:rsidRDefault="00BC5E3F" w:rsidP="00BC5E3F">
      <w:pPr>
        <w:pStyle w:val="MDPI81references"/>
        <w:numPr>
          <w:ilvl w:val="0"/>
          <w:numId w:val="3"/>
        </w:numPr>
      </w:pPr>
      <w:r>
        <w:t>Mankarios, A. T., Jones, C. F. G., Jarvis, M. C., Threlfall, D. R., &amp; Friend, J. (1979). Hydrolysis of plant polysaccharides and GLC analysis of their constituent neutral sugars. Phytochemistry, 18(3), 419–422.</w:t>
      </w:r>
    </w:p>
    <w:p w:rsidR="00BC5E3F" w:rsidRDefault="00BC5E3F" w:rsidP="00BC5E3F">
      <w:pPr>
        <w:pStyle w:val="MDPI81references"/>
        <w:numPr>
          <w:ilvl w:val="0"/>
          <w:numId w:val="3"/>
        </w:numPr>
      </w:pPr>
      <w:r>
        <w:t>Vojvodić Cebin, A., Komes, D., &amp; Ralet, M.-C. (2022). Development and validation of HPLC-DAD method with pre-column PMP derivatization for monomeric profile analysis of polysaccharides from agro-industrial wastes. Polymers, 14(3), 544.</w:t>
      </w:r>
    </w:p>
    <w:p w:rsidR="00BC5E3F" w:rsidRDefault="00BC5E3F" w:rsidP="00BC5E3F">
      <w:pPr>
        <w:pStyle w:val="MDPI81references"/>
        <w:numPr>
          <w:ilvl w:val="0"/>
          <w:numId w:val="3"/>
        </w:numPr>
      </w:pPr>
      <w:r>
        <w:t>Arellano, A., Santoyo, S., &amp; Ygartua, P. (1999). Influence of propylene glycol and isopropyl myristate on the in vitro percutaneous penetration of diclofenac sodium from carbopol gels. European Journal of Pharmaceutical Sciences, 7(2), 129–135.</w:t>
      </w:r>
    </w:p>
    <w:p w:rsidR="00BC5E3F" w:rsidRDefault="00BC5E3F" w:rsidP="00BC5E3F">
      <w:pPr>
        <w:pStyle w:val="MDPI81references"/>
        <w:numPr>
          <w:ilvl w:val="0"/>
          <w:numId w:val="3"/>
        </w:numPr>
      </w:pPr>
      <w:r>
        <w:t>Duong, Q. A., Pittet, L. F., Curtis, N., &amp; Zimmermann, P. (2022). Antibiotic exposure and adverse long-term health outcomes in children: a systematic review and meta-analysis. Journal of Infection, 85(3), 213-300.</w:t>
      </w:r>
    </w:p>
    <w:p w:rsidR="00BC5E3F" w:rsidRDefault="00BC5E3F" w:rsidP="00BC5E3F">
      <w:pPr>
        <w:pStyle w:val="MDPI81references"/>
        <w:numPr>
          <w:ilvl w:val="0"/>
          <w:numId w:val="3"/>
        </w:numPr>
      </w:pPr>
      <w:r>
        <w:t>Mulinge, M. M., Mwanza, S. S., Kabahweza, H. M., Wamalwa, D. C., &amp; Nduati, R. W. (2023). The impact of neonatal intensive care unit antibiotics on gut bacterial microbiota of preterm infants: A systematic review. Frontiers in Microbiomes, 2, 1180565.</w:t>
      </w:r>
    </w:p>
    <w:p w:rsidR="00BC5E3F" w:rsidRDefault="00BC5E3F" w:rsidP="00BC5E3F">
      <w:pPr>
        <w:pStyle w:val="MDPI81references"/>
        <w:numPr>
          <w:ilvl w:val="0"/>
          <w:numId w:val="3"/>
        </w:numPr>
      </w:pPr>
      <w:r>
        <w:t>Leylak, C., Özdemir, K. S., Gurakan, G. C., &amp; Ogel, Z. B. (2021). Optimisation of spray drying parameters for Lactobacillus acidophilus encapsulation in whey and gum Arabic: Its application in yoghurt. International Dairy Journal, 112, 104865.</w:t>
      </w:r>
    </w:p>
    <w:p w:rsidR="00BC5E3F" w:rsidRDefault="00BC5E3F" w:rsidP="00BC5E3F">
      <w:pPr>
        <w:pStyle w:val="MDPI81references"/>
        <w:numPr>
          <w:ilvl w:val="0"/>
          <w:numId w:val="3"/>
        </w:numPr>
      </w:pPr>
      <w:r>
        <w:t>Alhssan, E., Ercan, S. Ş., &amp; Bozkurt, H. (2023). Effect of flaxseed mucilage and gum Arabic on probiotic survival and quality of kefir during cold storage. Foods, 12(3), 662.</w:t>
      </w:r>
    </w:p>
    <w:p w:rsidR="00BC5E3F" w:rsidRDefault="00BC5E3F" w:rsidP="00BC5E3F">
      <w:pPr>
        <w:pStyle w:val="MDPI81references"/>
        <w:numPr>
          <w:ilvl w:val="0"/>
          <w:numId w:val="3"/>
        </w:numPr>
      </w:pPr>
      <w:r>
        <w:t>Cherbut, C., Michel, C., Raison, V., Kravtchenko, T., &amp; Severine, M. (2003). Acacia gum is a bifidogenic dietary fibre with high digestive tolerance in healthy humans. Microbial Ecology in Health and Disease, 15(1), 43-50.</w:t>
      </w:r>
    </w:p>
    <w:p w:rsidR="00BC5E3F" w:rsidRDefault="00BC5E3F" w:rsidP="00BC5E3F">
      <w:pPr>
        <w:pStyle w:val="MDPI81references"/>
        <w:numPr>
          <w:ilvl w:val="0"/>
          <w:numId w:val="3"/>
        </w:numPr>
      </w:pPr>
      <w:r>
        <w:t>Calame, W., Weseler, A. R., Viebke, C., Flynn, C., &amp; Siemensma, A. D. (2008). Gum arabic establishes prebiotic functionality in healthy human volunteers in a dose-dependent manner. British Journal of Nutrition, 100(6), 1269-1275.</w:t>
      </w:r>
    </w:p>
    <w:p w:rsidR="00BC5E3F" w:rsidRDefault="00BC5E3F" w:rsidP="00BC5E3F">
      <w:pPr>
        <w:pStyle w:val="MDPI81references"/>
        <w:numPr>
          <w:ilvl w:val="0"/>
          <w:numId w:val="3"/>
        </w:numPr>
      </w:pPr>
      <w:r>
        <w:t>Sasaki, Y., Horigome, A., Odamaki, T., Xiao, J. Z., Ishiwata, A., Ito, Y., ... &amp; Fujita, K. (2021). Novel 3-O-α-D-galactosyl-α-L-arabinofuranosidase for the assimilation of gum arabic arabinogalactan protein in Bifidobacterium longum subsp. longum. Applied and Environmental Microbiology, 87(10), e02690-20.</w:t>
      </w:r>
    </w:p>
    <w:p w:rsidR="00BC5E3F" w:rsidRDefault="00BC5E3F" w:rsidP="00BC5E3F">
      <w:pPr>
        <w:pStyle w:val="MDPI81references"/>
        <w:numPr>
          <w:ilvl w:val="0"/>
          <w:numId w:val="3"/>
        </w:numPr>
      </w:pPr>
      <w:r>
        <w:t>Klewicka, E., Cukrowska, B., Libudzisz, Z., Slizewska, K., &amp; Motyl, I. (2011). Changes in gut microbiota in children with atopic dermatitis administered the bacteria Lactobacillus casei DN–114001. Polish Journal of Microbiology, 60(4), 329.</w:t>
      </w:r>
    </w:p>
    <w:p w:rsidR="00575A6F" w:rsidRPr="002331BB" w:rsidRDefault="00BC5E3F" w:rsidP="00D752D6">
      <w:pPr>
        <w:pStyle w:val="MDPI81references"/>
        <w:numPr>
          <w:ilvl w:val="0"/>
          <w:numId w:val="3"/>
        </w:numPr>
        <w:spacing w:line="240" w:lineRule="auto"/>
        <w:jc w:val="left"/>
      </w:pPr>
      <w:r>
        <w:rPr>
          <w:rFonts w:hint="eastAsia"/>
        </w:rPr>
        <w:t>Tan‐Lim, C. S. C., Esteban‐Ipac, N. A. R., Mantaring III, J. B. V., Chan Shih Yen, E., Recto, M. S. T., Sison, O. T., &amp; Alejandria, M. M. (2021). Comparative effectiveness of probiotic strains for the treatment of pediatric atopic dermatitis: a systematic review and network meta‐analysis. Pediatric Allergy and Immunology, 32(1), 124-136.</w:t>
      </w:r>
    </w:p>
    <w:p w:rsidR="007713AF" w:rsidRPr="00F64ABA" w:rsidRDefault="00CA736E" w:rsidP="00517440">
      <w:pPr>
        <w:pStyle w:val="MDPI63notes"/>
      </w:pPr>
      <w:r w:rsidRPr="00F64ABA">
        <w:rPr>
          <w:b/>
        </w:rPr>
        <w:t>Disclaimer/Publisher’s Note:</w:t>
      </w:r>
      <w:r w:rsidRPr="00F64ABA">
        <w:t xml:space="preserve"> The statements, opinions and dataontained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7713AF" w:rsidRPr="00F64ABA" w:rsidSect="0051744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825" w:rsidRPr="003D4CE1" w:rsidRDefault="00864825">
      <w:pPr>
        <w:spacing w:line="240" w:lineRule="auto"/>
      </w:pPr>
      <w:r w:rsidRPr="003D4CE1">
        <w:separator/>
      </w:r>
    </w:p>
  </w:endnote>
  <w:endnote w:type="continuationSeparator" w:id="0">
    <w:p w:rsidR="00864825" w:rsidRPr="003D4CE1" w:rsidRDefault="00864825">
      <w:pPr>
        <w:spacing w:line="240" w:lineRule="auto"/>
      </w:pPr>
      <w:r w:rsidRPr="003D4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A2"/>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D6" w:rsidRDefault="00D752D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D6" w:rsidRPr="00583892" w:rsidRDefault="00D752D6" w:rsidP="00583892">
    <w:pPr>
      <w:pStyle w:val="AltBilgi"/>
      <w:spacing w:line="240" w:lineRule="auto"/>
      <w:jc w:val="right"/>
    </w:pPr>
    <w:r w:rsidRPr="00F84AC5">
      <w:rPr>
        <w:sz w:val="16"/>
      </w:rPr>
      <w:t>https://doi.org/10.3390/xxxxx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D6" w:rsidRPr="003D4CE1" w:rsidRDefault="00D752D6" w:rsidP="0090652B">
    <w:pPr>
      <w:pBdr>
        <w:top w:val="single" w:sz="4" w:space="0" w:color="000000"/>
      </w:pBdr>
      <w:tabs>
        <w:tab w:val="right" w:pos="8844"/>
      </w:tabs>
      <w:adjustRightInd w:val="0"/>
      <w:snapToGrid w:val="0"/>
      <w:spacing w:before="480" w:line="100" w:lineRule="exact"/>
      <w:jc w:val="left"/>
      <w:rPr>
        <w:i/>
        <w:sz w:val="16"/>
        <w:szCs w:val="16"/>
      </w:rPr>
    </w:pPr>
  </w:p>
  <w:p w:rsidR="00D752D6" w:rsidRPr="003D4CE1" w:rsidRDefault="00D752D6" w:rsidP="00F65BDA">
    <w:pPr>
      <w:tabs>
        <w:tab w:val="right" w:pos="10466"/>
      </w:tabs>
      <w:adjustRightInd w:val="0"/>
      <w:snapToGrid w:val="0"/>
      <w:spacing w:line="240" w:lineRule="auto"/>
      <w:rPr>
        <w:sz w:val="16"/>
        <w:szCs w:val="16"/>
      </w:rPr>
    </w:pPr>
    <w:r w:rsidRPr="003D4CE1">
      <w:rPr>
        <w:i/>
        <w:sz w:val="16"/>
        <w:szCs w:val="16"/>
      </w:rPr>
      <w:t xml:space="preserve">Antibiotics </w:t>
    </w:r>
    <w:r>
      <w:rPr>
        <w:b/>
        <w:bCs/>
        <w:iCs/>
        <w:sz w:val="16"/>
        <w:szCs w:val="16"/>
      </w:rPr>
      <w:t>2026</w:t>
    </w:r>
    <w:r w:rsidRPr="003D4CE1">
      <w:rPr>
        <w:bCs/>
        <w:iCs/>
        <w:sz w:val="16"/>
        <w:szCs w:val="16"/>
      </w:rPr>
      <w:t>,</w:t>
    </w:r>
    <w:r w:rsidRPr="003D4CE1">
      <w:rPr>
        <w:bCs/>
        <w:i/>
        <w:iCs/>
        <w:sz w:val="16"/>
        <w:szCs w:val="16"/>
      </w:rPr>
      <w:t xml:space="preserve"> </w:t>
    </w:r>
    <w:r>
      <w:rPr>
        <w:bCs/>
        <w:i/>
        <w:iCs/>
        <w:sz w:val="16"/>
        <w:szCs w:val="16"/>
      </w:rPr>
      <w:t>15</w:t>
    </w:r>
    <w:r w:rsidRPr="003D4CE1">
      <w:rPr>
        <w:bCs/>
        <w:iCs/>
        <w:sz w:val="16"/>
        <w:szCs w:val="16"/>
      </w:rPr>
      <w:t>, x</w:t>
    </w:r>
    <w:r w:rsidRPr="003D4CE1">
      <w:rPr>
        <w:sz w:val="16"/>
        <w:szCs w:val="16"/>
      </w:rPr>
      <w:tab/>
    </w:r>
    <w:r w:rsidRPr="00F84AC5">
      <w:rPr>
        <w:sz w:val="16"/>
        <w:szCs w:val="16"/>
      </w:rPr>
      <w:t>https://doi.org/10.3390/xxxxx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825" w:rsidRPr="003D4CE1" w:rsidRDefault="00864825">
      <w:pPr>
        <w:spacing w:line="240" w:lineRule="auto"/>
      </w:pPr>
      <w:r w:rsidRPr="003D4CE1">
        <w:separator/>
      </w:r>
    </w:p>
  </w:footnote>
  <w:footnote w:type="continuationSeparator" w:id="0">
    <w:p w:rsidR="00864825" w:rsidRPr="003D4CE1" w:rsidRDefault="00864825">
      <w:pPr>
        <w:spacing w:line="240" w:lineRule="auto"/>
      </w:pPr>
      <w:r w:rsidRPr="003D4CE1">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D6" w:rsidRPr="003D4CE1" w:rsidRDefault="00D752D6" w:rsidP="00464DCD">
    <w:pPr>
      <w:pStyle w:val="stBilgi"/>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D6" w:rsidRPr="003D4CE1" w:rsidRDefault="00D752D6" w:rsidP="00F65BDA">
    <w:pPr>
      <w:tabs>
        <w:tab w:val="right" w:pos="10466"/>
      </w:tabs>
      <w:adjustRightInd w:val="0"/>
      <w:snapToGrid w:val="0"/>
      <w:spacing w:line="240" w:lineRule="auto"/>
      <w:rPr>
        <w:sz w:val="16"/>
      </w:rPr>
    </w:pPr>
    <w:r w:rsidRPr="003D4CE1">
      <w:rPr>
        <w:i/>
        <w:sz w:val="16"/>
      </w:rPr>
      <w:t xml:space="preserve">Antibiotics </w:t>
    </w:r>
    <w:r>
      <w:rPr>
        <w:b/>
        <w:sz w:val="16"/>
      </w:rPr>
      <w:t>2026</w:t>
    </w:r>
    <w:r w:rsidRPr="003D4CE1">
      <w:rPr>
        <w:sz w:val="16"/>
      </w:rPr>
      <w:t>,</w:t>
    </w:r>
    <w:r w:rsidRPr="003D4CE1">
      <w:rPr>
        <w:i/>
        <w:sz w:val="16"/>
      </w:rPr>
      <w:t xml:space="preserve"> </w:t>
    </w:r>
    <w:r>
      <w:rPr>
        <w:i/>
        <w:sz w:val="16"/>
      </w:rPr>
      <w:t>15</w:t>
    </w:r>
    <w:r w:rsidRPr="003D4CE1">
      <w:rPr>
        <w:sz w:val="16"/>
      </w:rPr>
      <w:t>, x FOR PEER REVIEW</w:t>
    </w:r>
    <w:r w:rsidRPr="003D4CE1">
      <w:rPr>
        <w:sz w:val="16"/>
      </w:rPr>
      <w:ptab w:relativeTo="margin" w:alignment="right" w:leader="none"/>
    </w:r>
    <w:r w:rsidRPr="003D4CE1">
      <w:rPr>
        <w:sz w:val="16"/>
      </w:rPr>
      <w:fldChar w:fldCharType="begin"/>
    </w:r>
    <w:r w:rsidRPr="003D4CE1">
      <w:rPr>
        <w:sz w:val="16"/>
      </w:rPr>
      <w:instrText xml:space="preserve"> PAGE   \* MERGEFORMAT </w:instrText>
    </w:r>
    <w:r w:rsidRPr="003D4CE1">
      <w:rPr>
        <w:sz w:val="16"/>
      </w:rPr>
      <w:fldChar w:fldCharType="separate"/>
    </w:r>
    <w:r w:rsidR="00021137">
      <w:rPr>
        <w:noProof/>
        <w:sz w:val="16"/>
      </w:rPr>
      <w:t>2</w:t>
    </w:r>
    <w:r w:rsidRPr="003D4CE1">
      <w:rPr>
        <w:sz w:val="16"/>
      </w:rPr>
      <w:fldChar w:fldCharType="end"/>
    </w:r>
    <w:r w:rsidRPr="003D4CE1">
      <w:rPr>
        <w:sz w:val="16"/>
      </w:rPr>
      <w:t xml:space="preserve"> of </w:t>
    </w:r>
    <w:r w:rsidRPr="003D4CE1">
      <w:rPr>
        <w:sz w:val="16"/>
      </w:rPr>
      <w:fldChar w:fldCharType="begin"/>
    </w:r>
    <w:r w:rsidRPr="003D4CE1">
      <w:rPr>
        <w:sz w:val="16"/>
      </w:rPr>
      <w:instrText xml:space="preserve"> NUMPAGES   \* MERGEFORMAT </w:instrText>
    </w:r>
    <w:r w:rsidRPr="003D4CE1">
      <w:rPr>
        <w:sz w:val="16"/>
      </w:rPr>
      <w:fldChar w:fldCharType="separate"/>
    </w:r>
    <w:r w:rsidR="00021137">
      <w:rPr>
        <w:noProof/>
        <w:sz w:val="16"/>
      </w:rPr>
      <w:t>18</w:t>
    </w:r>
    <w:r w:rsidRPr="003D4CE1">
      <w:rPr>
        <w:sz w:val="16"/>
      </w:rPr>
      <w:fldChar w:fldCharType="end"/>
    </w:r>
  </w:p>
  <w:p w:rsidR="00D752D6" w:rsidRPr="003D4CE1" w:rsidRDefault="00D752D6" w:rsidP="0090652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D752D6" w:rsidRPr="003D4CE1" w:rsidTr="001524B1">
      <w:trPr>
        <w:trHeight w:val="686"/>
      </w:trPr>
      <w:tc>
        <w:tcPr>
          <w:tcW w:w="3679" w:type="dxa"/>
          <w:vAlign w:val="center"/>
        </w:tcPr>
        <w:p w:rsidR="00D752D6" w:rsidRPr="003D4CE1" w:rsidRDefault="00D752D6" w:rsidP="00F65BDA">
          <w:pPr>
            <w:pStyle w:val="stBilgi"/>
            <w:pBdr>
              <w:bottom w:val="none" w:sz="0" w:space="0" w:color="auto"/>
            </w:pBdr>
            <w:jc w:val="left"/>
            <w:rPr>
              <w:rFonts w:eastAsia="DengXian"/>
              <w:b/>
              <w:bCs/>
            </w:rPr>
          </w:pPr>
          <w:r w:rsidRPr="003D4CE1">
            <w:rPr>
              <w:rFonts w:eastAsia="DengXian"/>
              <w:b/>
              <w:bCs/>
              <w:noProof/>
              <w:lang w:val="tr-TR" w:eastAsia="tr-TR"/>
            </w:rPr>
            <w:drawing>
              <wp:inline distT="0" distB="0" distL="0" distR="0" wp14:anchorId="1E7B86A2" wp14:editId="07D69DB2">
                <wp:extent cx="1463324" cy="432000"/>
                <wp:effectExtent l="0" t="0" r="3810" b="6350"/>
                <wp:docPr id="1613097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97486" name=""/>
                        <pic:cNvPicPr/>
                      </pic:nvPicPr>
                      <pic:blipFill>
                        <a:blip r:embed="rId1"/>
                        <a:stretch>
                          <a:fillRect/>
                        </a:stretch>
                      </pic:blipFill>
                      <pic:spPr>
                        <a:xfrm>
                          <a:off x="0" y="0"/>
                          <a:ext cx="1463324" cy="432000"/>
                        </a:xfrm>
                        <a:prstGeom prst="rect">
                          <a:avLst/>
                        </a:prstGeom>
                      </pic:spPr>
                    </pic:pic>
                  </a:graphicData>
                </a:graphic>
              </wp:inline>
            </w:drawing>
          </w:r>
        </w:p>
      </w:tc>
      <w:tc>
        <w:tcPr>
          <w:tcW w:w="4535" w:type="dxa"/>
          <w:vAlign w:val="center"/>
        </w:tcPr>
        <w:p w:rsidR="00D752D6" w:rsidRPr="003D4CE1" w:rsidRDefault="00D752D6" w:rsidP="00F65BDA">
          <w:pPr>
            <w:pStyle w:val="stBilgi"/>
            <w:pBdr>
              <w:bottom w:val="none" w:sz="0" w:space="0" w:color="auto"/>
            </w:pBdr>
            <w:rPr>
              <w:rFonts w:eastAsia="DengXian"/>
              <w:b/>
              <w:bCs/>
            </w:rPr>
          </w:pPr>
        </w:p>
      </w:tc>
      <w:tc>
        <w:tcPr>
          <w:tcW w:w="2273" w:type="dxa"/>
          <w:vAlign w:val="center"/>
        </w:tcPr>
        <w:p w:rsidR="00D752D6" w:rsidRPr="003D4CE1" w:rsidRDefault="00D752D6" w:rsidP="001524B1">
          <w:pPr>
            <w:pStyle w:val="stBilgi"/>
            <w:pBdr>
              <w:bottom w:val="none" w:sz="0" w:space="0" w:color="auto"/>
            </w:pBdr>
            <w:jc w:val="right"/>
            <w:rPr>
              <w:rFonts w:eastAsia="DengXian"/>
              <w:b/>
              <w:bCs/>
            </w:rPr>
          </w:pPr>
          <w:r w:rsidRPr="003D4CE1">
            <w:rPr>
              <w:rFonts w:eastAsia="DengXian"/>
              <w:b/>
              <w:bCs/>
              <w:noProof/>
              <w:lang w:val="tr-TR" w:eastAsia="tr-TR"/>
            </w:rPr>
            <w:drawing>
              <wp:inline distT="0" distB="0" distL="0" distR="0" wp14:anchorId="186B9B54" wp14:editId="48ABE8EA">
                <wp:extent cx="540000" cy="360000"/>
                <wp:effectExtent l="0" t="0" r="0" b="2540"/>
                <wp:docPr id="1313756440" name="Picture 1"/>
                <wp:cNvGraphicFramePr/>
                <a:graphic xmlns:a="http://schemas.openxmlformats.org/drawingml/2006/main">
                  <a:graphicData uri="http://schemas.openxmlformats.org/drawingml/2006/picture">
                    <pic:pic xmlns:pic="http://schemas.openxmlformats.org/drawingml/2006/picture">
                      <pic:nvPicPr>
                        <pic:cNvPr id="1313756440" name=""/>
                        <pic:cNvPicPr/>
                      </pic:nvPicPr>
                      <pic:blipFill>
                        <a:blip r:embed="rId2"/>
                        <a:stretch>
                          <a:fillRect/>
                        </a:stretch>
                      </pic:blipFill>
                      <pic:spPr>
                        <a:xfrm>
                          <a:off x="0" y="0"/>
                          <a:ext cx="540000" cy="360000"/>
                        </a:xfrm>
                        <a:prstGeom prst="rect">
                          <a:avLst/>
                        </a:prstGeom>
                      </pic:spPr>
                    </pic:pic>
                  </a:graphicData>
                </a:graphic>
              </wp:inline>
            </w:drawing>
          </w:r>
        </w:p>
      </w:tc>
    </w:tr>
  </w:tbl>
  <w:p w:rsidR="00D752D6" w:rsidRPr="003D4CE1" w:rsidRDefault="00D752D6" w:rsidP="00517440">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A94"/>
    <w:multiLevelType w:val="hybridMultilevel"/>
    <w:tmpl w:val="650E691E"/>
    <w:lvl w:ilvl="0" w:tplc="F8F430BE">
      <w:start w:val="4"/>
      <w:numFmt w:val="bullet"/>
      <w:lvlText w:val=""/>
      <w:lvlJc w:val="left"/>
      <w:pPr>
        <w:ind w:left="2968" w:hanging="360"/>
      </w:pPr>
      <w:rPr>
        <w:rFonts w:ascii="Symbol" w:eastAsia="Times New Roman" w:hAnsi="Symbol" w:cs="Times New Roman" w:hint="default"/>
        <w:b/>
      </w:rPr>
    </w:lvl>
    <w:lvl w:ilvl="1" w:tplc="041F0003" w:tentative="1">
      <w:start w:val="1"/>
      <w:numFmt w:val="bullet"/>
      <w:lvlText w:val="o"/>
      <w:lvlJc w:val="left"/>
      <w:pPr>
        <w:ind w:left="3688" w:hanging="360"/>
      </w:pPr>
      <w:rPr>
        <w:rFonts w:ascii="Courier New" w:hAnsi="Courier New" w:cs="Courier New" w:hint="default"/>
      </w:rPr>
    </w:lvl>
    <w:lvl w:ilvl="2" w:tplc="041F0005" w:tentative="1">
      <w:start w:val="1"/>
      <w:numFmt w:val="bullet"/>
      <w:lvlText w:val=""/>
      <w:lvlJc w:val="left"/>
      <w:pPr>
        <w:ind w:left="4408" w:hanging="360"/>
      </w:pPr>
      <w:rPr>
        <w:rFonts w:ascii="Wingdings" w:hAnsi="Wingdings" w:hint="default"/>
      </w:rPr>
    </w:lvl>
    <w:lvl w:ilvl="3" w:tplc="041F0001" w:tentative="1">
      <w:start w:val="1"/>
      <w:numFmt w:val="bullet"/>
      <w:lvlText w:val=""/>
      <w:lvlJc w:val="left"/>
      <w:pPr>
        <w:ind w:left="5128" w:hanging="360"/>
      </w:pPr>
      <w:rPr>
        <w:rFonts w:ascii="Symbol" w:hAnsi="Symbol" w:hint="default"/>
      </w:rPr>
    </w:lvl>
    <w:lvl w:ilvl="4" w:tplc="041F0003" w:tentative="1">
      <w:start w:val="1"/>
      <w:numFmt w:val="bullet"/>
      <w:lvlText w:val="o"/>
      <w:lvlJc w:val="left"/>
      <w:pPr>
        <w:ind w:left="5848" w:hanging="360"/>
      </w:pPr>
      <w:rPr>
        <w:rFonts w:ascii="Courier New" w:hAnsi="Courier New" w:cs="Courier New" w:hint="default"/>
      </w:rPr>
    </w:lvl>
    <w:lvl w:ilvl="5" w:tplc="041F0005" w:tentative="1">
      <w:start w:val="1"/>
      <w:numFmt w:val="bullet"/>
      <w:lvlText w:val=""/>
      <w:lvlJc w:val="left"/>
      <w:pPr>
        <w:ind w:left="6568" w:hanging="360"/>
      </w:pPr>
      <w:rPr>
        <w:rFonts w:ascii="Wingdings" w:hAnsi="Wingdings" w:hint="default"/>
      </w:rPr>
    </w:lvl>
    <w:lvl w:ilvl="6" w:tplc="041F0001" w:tentative="1">
      <w:start w:val="1"/>
      <w:numFmt w:val="bullet"/>
      <w:lvlText w:val=""/>
      <w:lvlJc w:val="left"/>
      <w:pPr>
        <w:ind w:left="7288" w:hanging="360"/>
      </w:pPr>
      <w:rPr>
        <w:rFonts w:ascii="Symbol" w:hAnsi="Symbol" w:hint="default"/>
      </w:rPr>
    </w:lvl>
    <w:lvl w:ilvl="7" w:tplc="041F0003" w:tentative="1">
      <w:start w:val="1"/>
      <w:numFmt w:val="bullet"/>
      <w:lvlText w:val="o"/>
      <w:lvlJc w:val="left"/>
      <w:pPr>
        <w:ind w:left="8008" w:hanging="360"/>
      </w:pPr>
      <w:rPr>
        <w:rFonts w:ascii="Courier New" w:hAnsi="Courier New" w:cs="Courier New" w:hint="default"/>
      </w:rPr>
    </w:lvl>
    <w:lvl w:ilvl="8" w:tplc="041F0005" w:tentative="1">
      <w:start w:val="1"/>
      <w:numFmt w:val="bullet"/>
      <w:lvlText w:val=""/>
      <w:lvlJc w:val="left"/>
      <w:pPr>
        <w:ind w:left="8728" w:hanging="360"/>
      </w:pPr>
      <w:rPr>
        <w:rFonts w:ascii="Wingdings" w:hAnsi="Wingdings" w:hint="default"/>
      </w:rPr>
    </w:lvl>
  </w:abstractNum>
  <w:abstractNum w:abstractNumId="1" w15:restartNumberingAfterBreak="0">
    <w:nsid w:val="09D2012B"/>
    <w:multiLevelType w:val="hybridMultilevel"/>
    <w:tmpl w:val="FF086DF8"/>
    <w:lvl w:ilvl="0" w:tplc="041F0001">
      <w:start w:val="1"/>
      <w:numFmt w:val="bullet"/>
      <w:lvlText w:val=""/>
      <w:lvlJc w:val="left"/>
      <w:pPr>
        <w:ind w:left="3753" w:hanging="360"/>
      </w:pPr>
      <w:rPr>
        <w:rFonts w:ascii="Symbol" w:hAnsi="Symbol" w:hint="default"/>
      </w:rPr>
    </w:lvl>
    <w:lvl w:ilvl="1" w:tplc="041F0003" w:tentative="1">
      <w:start w:val="1"/>
      <w:numFmt w:val="bullet"/>
      <w:lvlText w:val="o"/>
      <w:lvlJc w:val="left"/>
      <w:pPr>
        <w:ind w:left="4473" w:hanging="360"/>
      </w:pPr>
      <w:rPr>
        <w:rFonts w:ascii="Courier New" w:hAnsi="Courier New" w:cs="Courier New" w:hint="default"/>
      </w:rPr>
    </w:lvl>
    <w:lvl w:ilvl="2" w:tplc="041F0005" w:tentative="1">
      <w:start w:val="1"/>
      <w:numFmt w:val="bullet"/>
      <w:lvlText w:val=""/>
      <w:lvlJc w:val="left"/>
      <w:pPr>
        <w:ind w:left="5193" w:hanging="360"/>
      </w:pPr>
      <w:rPr>
        <w:rFonts w:ascii="Wingdings" w:hAnsi="Wingdings" w:hint="default"/>
      </w:rPr>
    </w:lvl>
    <w:lvl w:ilvl="3" w:tplc="041F0001" w:tentative="1">
      <w:start w:val="1"/>
      <w:numFmt w:val="bullet"/>
      <w:lvlText w:val=""/>
      <w:lvlJc w:val="left"/>
      <w:pPr>
        <w:ind w:left="5913" w:hanging="360"/>
      </w:pPr>
      <w:rPr>
        <w:rFonts w:ascii="Symbol" w:hAnsi="Symbol" w:hint="default"/>
      </w:rPr>
    </w:lvl>
    <w:lvl w:ilvl="4" w:tplc="041F0003" w:tentative="1">
      <w:start w:val="1"/>
      <w:numFmt w:val="bullet"/>
      <w:lvlText w:val="o"/>
      <w:lvlJc w:val="left"/>
      <w:pPr>
        <w:ind w:left="6633" w:hanging="360"/>
      </w:pPr>
      <w:rPr>
        <w:rFonts w:ascii="Courier New" w:hAnsi="Courier New" w:cs="Courier New" w:hint="default"/>
      </w:rPr>
    </w:lvl>
    <w:lvl w:ilvl="5" w:tplc="041F0005" w:tentative="1">
      <w:start w:val="1"/>
      <w:numFmt w:val="bullet"/>
      <w:lvlText w:val=""/>
      <w:lvlJc w:val="left"/>
      <w:pPr>
        <w:ind w:left="7353" w:hanging="360"/>
      </w:pPr>
      <w:rPr>
        <w:rFonts w:ascii="Wingdings" w:hAnsi="Wingdings" w:hint="default"/>
      </w:rPr>
    </w:lvl>
    <w:lvl w:ilvl="6" w:tplc="041F0001" w:tentative="1">
      <w:start w:val="1"/>
      <w:numFmt w:val="bullet"/>
      <w:lvlText w:val=""/>
      <w:lvlJc w:val="left"/>
      <w:pPr>
        <w:ind w:left="8073" w:hanging="360"/>
      </w:pPr>
      <w:rPr>
        <w:rFonts w:ascii="Symbol" w:hAnsi="Symbol" w:hint="default"/>
      </w:rPr>
    </w:lvl>
    <w:lvl w:ilvl="7" w:tplc="041F0003" w:tentative="1">
      <w:start w:val="1"/>
      <w:numFmt w:val="bullet"/>
      <w:lvlText w:val="o"/>
      <w:lvlJc w:val="left"/>
      <w:pPr>
        <w:ind w:left="8793" w:hanging="360"/>
      </w:pPr>
      <w:rPr>
        <w:rFonts w:ascii="Courier New" w:hAnsi="Courier New" w:cs="Courier New" w:hint="default"/>
      </w:rPr>
    </w:lvl>
    <w:lvl w:ilvl="8" w:tplc="041F0005" w:tentative="1">
      <w:start w:val="1"/>
      <w:numFmt w:val="bullet"/>
      <w:lvlText w:val=""/>
      <w:lvlJc w:val="left"/>
      <w:pPr>
        <w:ind w:left="9513" w:hanging="360"/>
      </w:pPr>
      <w:rPr>
        <w:rFonts w:ascii="Wingdings" w:hAnsi="Wingdings" w:hint="default"/>
      </w:rPr>
    </w:lvl>
  </w:abstractNum>
  <w:abstractNum w:abstractNumId="2" w15:restartNumberingAfterBreak="0">
    <w:nsid w:val="18B468F5"/>
    <w:multiLevelType w:val="hybridMultilevel"/>
    <w:tmpl w:val="C92AF13A"/>
    <w:lvl w:ilvl="0" w:tplc="1D6892E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0E060BE"/>
    <w:multiLevelType w:val="multilevel"/>
    <w:tmpl w:val="290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A245F"/>
    <w:multiLevelType w:val="hybridMultilevel"/>
    <w:tmpl w:val="F4F63AF6"/>
    <w:lvl w:ilvl="0" w:tplc="2AE043EA">
      <w:start w:val="1"/>
      <w:numFmt w:val="decimal"/>
      <w:lvlText w:val="%1."/>
      <w:lvlJc w:val="left"/>
      <w:pPr>
        <w:ind w:left="56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F532358"/>
    <w:multiLevelType w:val="hybridMultilevel"/>
    <w:tmpl w:val="F6EEB9FA"/>
    <w:lvl w:ilvl="0" w:tplc="14EA940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B7440"/>
    <w:multiLevelType w:val="hybridMultilevel"/>
    <w:tmpl w:val="9E14E096"/>
    <w:lvl w:ilvl="0" w:tplc="E77E4FE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4CC61D4C"/>
    <w:multiLevelType w:val="multilevel"/>
    <w:tmpl w:val="2C8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58C8403F"/>
    <w:multiLevelType w:val="hybridMultilevel"/>
    <w:tmpl w:val="3DDA47D6"/>
    <w:lvl w:ilvl="0" w:tplc="748452B4">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F5CCB"/>
    <w:multiLevelType w:val="multilevel"/>
    <w:tmpl w:val="59F0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712C6"/>
    <w:multiLevelType w:val="hybridMultilevel"/>
    <w:tmpl w:val="CFF0B820"/>
    <w:lvl w:ilvl="0" w:tplc="041F0001">
      <w:start w:val="1"/>
      <w:numFmt w:val="bullet"/>
      <w:lvlText w:val=""/>
      <w:lvlJc w:val="left"/>
      <w:pPr>
        <w:ind w:left="3753" w:hanging="360"/>
      </w:pPr>
      <w:rPr>
        <w:rFonts w:ascii="Symbol" w:hAnsi="Symbol" w:hint="default"/>
      </w:rPr>
    </w:lvl>
    <w:lvl w:ilvl="1" w:tplc="041F0003" w:tentative="1">
      <w:start w:val="1"/>
      <w:numFmt w:val="bullet"/>
      <w:lvlText w:val="o"/>
      <w:lvlJc w:val="left"/>
      <w:pPr>
        <w:ind w:left="4473" w:hanging="360"/>
      </w:pPr>
      <w:rPr>
        <w:rFonts w:ascii="Courier New" w:hAnsi="Courier New" w:cs="Courier New" w:hint="default"/>
      </w:rPr>
    </w:lvl>
    <w:lvl w:ilvl="2" w:tplc="041F0005" w:tentative="1">
      <w:start w:val="1"/>
      <w:numFmt w:val="bullet"/>
      <w:lvlText w:val=""/>
      <w:lvlJc w:val="left"/>
      <w:pPr>
        <w:ind w:left="5193" w:hanging="360"/>
      </w:pPr>
      <w:rPr>
        <w:rFonts w:ascii="Wingdings" w:hAnsi="Wingdings" w:hint="default"/>
      </w:rPr>
    </w:lvl>
    <w:lvl w:ilvl="3" w:tplc="041F0001" w:tentative="1">
      <w:start w:val="1"/>
      <w:numFmt w:val="bullet"/>
      <w:lvlText w:val=""/>
      <w:lvlJc w:val="left"/>
      <w:pPr>
        <w:ind w:left="5913" w:hanging="360"/>
      </w:pPr>
      <w:rPr>
        <w:rFonts w:ascii="Symbol" w:hAnsi="Symbol" w:hint="default"/>
      </w:rPr>
    </w:lvl>
    <w:lvl w:ilvl="4" w:tplc="041F0003" w:tentative="1">
      <w:start w:val="1"/>
      <w:numFmt w:val="bullet"/>
      <w:lvlText w:val="o"/>
      <w:lvlJc w:val="left"/>
      <w:pPr>
        <w:ind w:left="6633" w:hanging="360"/>
      </w:pPr>
      <w:rPr>
        <w:rFonts w:ascii="Courier New" w:hAnsi="Courier New" w:cs="Courier New" w:hint="default"/>
      </w:rPr>
    </w:lvl>
    <w:lvl w:ilvl="5" w:tplc="041F0005" w:tentative="1">
      <w:start w:val="1"/>
      <w:numFmt w:val="bullet"/>
      <w:lvlText w:val=""/>
      <w:lvlJc w:val="left"/>
      <w:pPr>
        <w:ind w:left="7353" w:hanging="360"/>
      </w:pPr>
      <w:rPr>
        <w:rFonts w:ascii="Wingdings" w:hAnsi="Wingdings" w:hint="default"/>
      </w:rPr>
    </w:lvl>
    <w:lvl w:ilvl="6" w:tplc="041F0001" w:tentative="1">
      <w:start w:val="1"/>
      <w:numFmt w:val="bullet"/>
      <w:lvlText w:val=""/>
      <w:lvlJc w:val="left"/>
      <w:pPr>
        <w:ind w:left="8073" w:hanging="360"/>
      </w:pPr>
      <w:rPr>
        <w:rFonts w:ascii="Symbol" w:hAnsi="Symbol" w:hint="default"/>
      </w:rPr>
    </w:lvl>
    <w:lvl w:ilvl="7" w:tplc="041F0003" w:tentative="1">
      <w:start w:val="1"/>
      <w:numFmt w:val="bullet"/>
      <w:lvlText w:val="o"/>
      <w:lvlJc w:val="left"/>
      <w:pPr>
        <w:ind w:left="8793" w:hanging="360"/>
      </w:pPr>
      <w:rPr>
        <w:rFonts w:ascii="Courier New" w:hAnsi="Courier New" w:cs="Courier New" w:hint="default"/>
      </w:rPr>
    </w:lvl>
    <w:lvl w:ilvl="8" w:tplc="041F0005" w:tentative="1">
      <w:start w:val="1"/>
      <w:numFmt w:val="bullet"/>
      <w:lvlText w:val=""/>
      <w:lvlJc w:val="left"/>
      <w:pPr>
        <w:ind w:left="9513"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13"/>
  </w:num>
  <w:num w:numId="6">
    <w:abstractNumId w:val="3"/>
  </w:num>
  <w:num w:numId="7">
    <w:abstractNumId w:val="13"/>
  </w:num>
  <w:num w:numId="8">
    <w:abstractNumId w:val="3"/>
  </w:num>
  <w:num w:numId="9">
    <w:abstractNumId w:val="13"/>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3"/>
  </w:num>
  <w:num w:numId="15">
    <w:abstractNumId w:val="2"/>
  </w:num>
  <w:num w:numId="16">
    <w:abstractNumId w:val="12"/>
  </w:num>
  <w:num w:numId="17">
    <w:abstractNumId w:val="2"/>
  </w:num>
  <w:num w:numId="18">
    <w:abstractNumId w:val="13"/>
  </w:num>
  <w:num w:numId="19">
    <w:abstractNumId w:val="3"/>
  </w:num>
  <w:num w:numId="20">
    <w:abstractNumId w:val="2"/>
  </w:num>
  <w:num w:numId="21">
    <w:abstractNumId w:val="9"/>
  </w:num>
  <w:num w:numId="22">
    <w:abstractNumId w:val="10"/>
  </w:num>
  <w:num w:numId="23">
    <w:abstractNumId w:val="14"/>
  </w:num>
  <w:num w:numId="24">
    <w:abstractNumId w:val="15"/>
  </w:num>
  <w:num w:numId="25">
    <w:abstractNumId w:val="17"/>
  </w:num>
  <w:num w:numId="26">
    <w:abstractNumId w:val="4"/>
  </w:num>
  <w:num w:numId="27">
    <w:abstractNumId w:val="1"/>
  </w:num>
  <w:num w:numId="28">
    <w:abstractNumId w:val="1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86"/>
    <w:rsid w:val="00000F18"/>
    <w:rsid w:val="0000644F"/>
    <w:rsid w:val="00014445"/>
    <w:rsid w:val="00015B14"/>
    <w:rsid w:val="00016223"/>
    <w:rsid w:val="00021137"/>
    <w:rsid w:val="00022841"/>
    <w:rsid w:val="00023454"/>
    <w:rsid w:val="000304D2"/>
    <w:rsid w:val="00030737"/>
    <w:rsid w:val="00032D04"/>
    <w:rsid w:val="000333F6"/>
    <w:rsid w:val="00036FCB"/>
    <w:rsid w:val="00040ACB"/>
    <w:rsid w:val="0004206C"/>
    <w:rsid w:val="000427B3"/>
    <w:rsid w:val="00042FB9"/>
    <w:rsid w:val="00045B43"/>
    <w:rsid w:val="00050470"/>
    <w:rsid w:val="00050F89"/>
    <w:rsid w:val="000510DC"/>
    <w:rsid w:val="000544AA"/>
    <w:rsid w:val="00054863"/>
    <w:rsid w:val="00060DD4"/>
    <w:rsid w:val="000833A7"/>
    <w:rsid w:val="00086F4D"/>
    <w:rsid w:val="000A67DE"/>
    <w:rsid w:val="000B0F52"/>
    <w:rsid w:val="000C1572"/>
    <w:rsid w:val="000D4C88"/>
    <w:rsid w:val="000E5489"/>
    <w:rsid w:val="000E5987"/>
    <w:rsid w:val="000E6CC8"/>
    <w:rsid w:val="000F65CA"/>
    <w:rsid w:val="000F6793"/>
    <w:rsid w:val="001123CF"/>
    <w:rsid w:val="001134A3"/>
    <w:rsid w:val="00116A34"/>
    <w:rsid w:val="00120B31"/>
    <w:rsid w:val="00124269"/>
    <w:rsid w:val="00126845"/>
    <w:rsid w:val="00134207"/>
    <w:rsid w:val="00150B58"/>
    <w:rsid w:val="001524B1"/>
    <w:rsid w:val="001551DB"/>
    <w:rsid w:val="00162C27"/>
    <w:rsid w:val="0016398D"/>
    <w:rsid w:val="00166B96"/>
    <w:rsid w:val="00170F31"/>
    <w:rsid w:val="001A1629"/>
    <w:rsid w:val="001B7D7D"/>
    <w:rsid w:val="001C5C1A"/>
    <w:rsid w:val="001C64EA"/>
    <w:rsid w:val="001D3BF9"/>
    <w:rsid w:val="001E2AEB"/>
    <w:rsid w:val="001E4B3A"/>
    <w:rsid w:val="001E6690"/>
    <w:rsid w:val="001E6ADF"/>
    <w:rsid w:val="001F2D4E"/>
    <w:rsid w:val="001F62D3"/>
    <w:rsid w:val="002121AD"/>
    <w:rsid w:val="00213A4D"/>
    <w:rsid w:val="002331BB"/>
    <w:rsid w:val="00240F7A"/>
    <w:rsid w:val="002471F6"/>
    <w:rsid w:val="002472A2"/>
    <w:rsid w:val="0025009E"/>
    <w:rsid w:val="0026517B"/>
    <w:rsid w:val="002679C5"/>
    <w:rsid w:val="00267ADA"/>
    <w:rsid w:val="00295161"/>
    <w:rsid w:val="002A4CF3"/>
    <w:rsid w:val="002B0524"/>
    <w:rsid w:val="002C3620"/>
    <w:rsid w:val="002C4916"/>
    <w:rsid w:val="002D3091"/>
    <w:rsid w:val="002E4B3A"/>
    <w:rsid w:val="003037B3"/>
    <w:rsid w:val="00324A52"/>
    <w:rsid w:val="003256B0"/>
    <w:rsid w:val="00326141"/>
    <w:rsid w:val="00333EA0"/>
    <w:rsid w:val="00337417"/>
    <w:rsid w:val="00356DBC"/>
    <w:rsid w:val="0036075D"/>
    <w:rsid w:val="00366B67"/>
    <w:rsid w:val="00372BA9"/>
    <w:rsid w:val="003732A4"/>
    <w:rsid w:val="00390E91"/>
    <w:rsid w:val="003A0E06"/>
    <w:rsid w:val="003A70B6"/>
    <w:rsid w:val="003C1244"/>
    <w:rsid w:val="003C4625"/>
    <w:rsid w:val="003D4CE1"/>
    <w:rsid w:val="003E46E4"/>
    <w:rsid w:val="003E6129"/>
    <w:rsid w:val="00400680"/>
    <w:rsid w:val="00401D30"/>
    <w:rsid w:val="00407437"/>
    <w:rsid w:val="00415C7B"/>
    <w:rsid w:val="00417022"/>
    <w:rsid w:val="004255B0"/>
    <w:rsid w:val="00427B18"/>
    <w:rsid w:val="0043449B"/>
    <w:rsid w:val="004443CB"/>
    <w:rsid w:val="00454A4A"/>
    <w:rsid w:val="004638CD"/>
    <w:rsid w:val="00464DCD"/>
    <w:rsid w:val="00473A1A"/>
    <w:rsid w:val="004857E8"/>
    <w:rsid w:val="00494147"/>
    <w:rsid w:val="004A5E58"/>
    <w:rsid w:val="004A69B4"/>
    <w:rsid w:val="004B2059"/>
    <w:rsid w:val="004D5B13"/>
    <w:rsid w:val="004E2764"/>
    <w:rsid w:val="004E473D"/>
    <w:rsid w:val="004F1683"/>
    <w:rsid w:val="00507625"/>
    <w:rsid w:val="00514864"/>
    <w:rsid w:val="005152EB"/>
    <w:rsid w:val="00517440"/>
    <w:rsid w:val="00520B78"/>
    <w:rsid w:val="00522A60"/>
    <w:rsid w:val="00533CBF"/>
    <w:rsid w:val="00545B32"/>
    <w:rsid w:val="00547872"/>
    <w:rsid w:val="00554A19"/>
    <w:rsid w:val="005569A2"/>
    <w:rsid w:val="005613DA"/>
    <w:rsid w:val="00564777"/>
    <w:rsid w:val="005748E5"/>
    <w:rsid w:val="00575A6F"/>
    <w:rsid w:val="00581A96"/>
    <w:rsid w:val="00583892"/>
    <w:rsid w:val="00584CB9"/>
    <w:rsid w:val="005943E2"/>
    <w:rsid w:val="005B6527"/>
    <w:rsid w:val="005C4875"/>
    <w:rsid w:val="005D0B65"/>
    <w:rsid w:val="005D7FE3"/>
    <w:rsid w:val="005E7C00"/>
    <w:rsid w:val="005F2679"/>
    <w:rsid w:val="005F78ED"/>
    <w:rsid w:val="0060034B"/>
    <w:rsid w:val="00604C88"/>
    <w:rsid w:val="00635DCE"/>
    <w:rsid w:val="00647C83"/>
    <w:rsid w:val="00653308"/>
    <w:rsid w:val="006614EE"/>
    <w:rsid w:val="00672E91"/>
    <w:rsid w:val="00681CFA"/>
    <w:rsid w:val="006833C1"/>
    <w:rsid w:val="00687A18"/>
    <w:rsid w:val="0069039E"/>
    <w:rsid w:val="00691FFC"/>
    <w:rsid w:val="00692393"/>
    <w:rsid w:val="006A18BE"/>
    <w:rsid w:val="006A2477"/>
    <w:rsid w:val="006B6BB7"/>
    <w:rsid w:val="006B7014"/>
    <w:rsid w:val="006C7F9F"/>
    <w:rsid w:val="006F076B"/>
    <w:rsid w:val="006F27CB"/>
    <w:rsid w:val="00714E92"/>
    <w:rsid w:val="00720BC5"/>
    <w:rsid w:val="0073340A"/>
    <w:rsid w:val="00740199"/>
    <w:rsid w:val="00743CA8"/>
    <w:rsid w:val="00744D55"/>
    <w:rsid w:val="00745384"/>
    <w:rsid w:val="0076393F"/>
    <w:rsid w:val="00764BEB"/>
    <w:rsid w:val="007713AF"/>
    <w:rsid w:val="00772B38"/>
    <w:rsid w:val="0077600A"/>
    <w:rsid w:val="0078107A"/>
    <w:rsid w:val="007862D3"/>
    <w:rsid w:val="00786753"/>
    <w:rsid w:val="007919DA"/>
    <w:rsid w:val="007A1E78"/>
    <w:rsid w:val="007A335E"/>
    <w:rsid w:val="007A4F61"/>
    <w:rsid w:val="007B7D8E"/>
    <w:rsid w:val="007C7415"/>
    <w:rsid w:val="007E14C2"/>
    <w:rsid w:val="007E52D6"/>
    <w:rsid w:val="007F1448"/>
    <w:rsid w:val="007F5CCE"/>
    <w:rsid w:val="007F69C3"/>
    <w:rsid w:val="007F7AB4"/>
    <w:rsid w:val="00811D14"/>
    <w:rsid w:val="00812BCD"/>
    <w:rsid w:val="0082039E"/>
    <w:rsid w:val="0082507D"/>
    <w:rsid w:val="0082533A"/>
    <w:rsid w:val="00834D5F"/>
    <w:rsid w:val="00836140"/>
    <w:rsid w:val="00843A34"/>
    <w:rsid w:val="00847ECD"/>
    <w:rsid w:val="00851BEB"/>
    <w:rsid w:val="00852620"/>
    <w:rsid w:val="0085667E"/>
    <w:rsid w:val="008601B0"/>
    <w:rsid w:val="00862098"/>
    <w:rsid w:val="00864825"/>
    <w:rsid w:val="00865AC6"/>
    <w:rsid w:val="00867B28"/>
    <w:rsid w:val="00870E7C"/>
    <w:rsid w:val="008713B0"/>
    <w:rsid w:val="0088294B"/>
    <w:rsid w:val="00885EA4"/>
    <w:rsid w:val="008A294B"/>
    <w:rsid w:val="008A3AB2"/>
    <w:rsid w:val="008B47FA"/>
    <w:rsid w:val="008B7781"/>
    <w:rsid w:val="008C4534"/>
    <w:rsid w:val="008C487C"/>
    <w:rsid w:val="008D05F7"/>
    <w:rsid w:val="008D6B13"/>
    <w:rsid w:val="008E573B"/>
    <w:rsid w:val="008E7BA7"/>
    <w:rsid w:val="008E7CF3"/>
    <w:rsid w:val="008F1263"/>
    <w:rsid w:val="008F5EB6"/>
    <w:rsid w:val="008F630B"/>
    <w:rsid w:val="00903C4D"/>
    <w:rsid w:val="0090652B"/>
    <w:rsid w:val="00906DEF"/>
    <w:rsid w:val="009079D5"/>
    <w:rsid w:val="00937260"/>
    <w:rsid w:val="00945FE8"/>
    <w:rsid w:val="00946ECB"/>
    <w:rsid w:val="00951A63"/>
    <w:rsid w:val="00955C79"/>
    <w:rsid w:val="009648DF"/>
    <w:rsid w:val="009855E0"/>
    <w:rsid w:val="00991C7D"/>
    <w:rsid w:val="00992716"/>
    <w:rsid w:val="009A686A"/>
    <w:rsid w:val="009B0AE4"/>
    <w:rsid w:val="009B0F3A"/>
    <w:rsid w:val="009B13D9"/>
    <w:rsid w:val="009B29C1"/>
    <w:rsid w:val="009B7757"/>
    <w:rsid w:val="009B7C26"/>
    <w:rsid w:val="009E1E6C"/>
    <w:rsid w:val="009E7E0C"/>
    <w:rsid w:val="009F70E6"/>
    <w:rsid w:val="00A075E0"/>
    <w:rsid w:val="00A105C0"/>
    <w:rsid w:val="00A13A33"/>
    <w:rsid w:val="00A17D5B"/>
    <w:rsid w:val="00A2154A"/>
    <w:rsid w:val="00A218B7"/>
    <w:rsid w:val="00A269E4"/>
    <w:rsid w:val="00A27924"/>
    <w:rsid w:val="00A27F6B"/>
    <w:rsid w:val="00A305FC"/>
    <w:rsid w:val="00A32B08"/>
    <w:rsid w:val="00A376DC"/>
    <w:rsid w:val="00A43A9C"/>
    <w:rsid w:val="00A54653"/>
    <w:rsid w:val="00A55A81"/>
    <w:rsid w:val="00A75AEF"/>
    <w:rsid w:val="00A7616F"/>
    <w:rsid w:val="00A77439"/>
    <w:rsid w:val="00A77E31"/>
    <w:rsid w:val="00A80428"/>
    <w:rsid w:val="00A82859"/>
    <w:rsid w:val="00A828FF"/>
    <w:rsid w:val="00AB5ECB"/>
    <w:rsid w:val="00AC315D"/>
    <w:rsid w:val="00AD2380"/>
    <w:rsid w:val="00AD2EA0"/>
    <w:rsid w:val="00AE2E18"/>
    <w:rsid w:val="00B10F2C"/>
    <w:rsid w:val="00B15826"/>
    <w:rsid w:val="00B214DB"/>
    <w:rsid w:val="00B25057"/>
    <w:rsid w:val="00B3676C"/>
    <w:rsid w:val="00B40676"/>
    <w:rsid w:val="00B450CD"/>
    <w:rsid w:val="00B45832"/>
    <w:rsid w:val="00B7124D"/>
    <w:rsid w:val="00B73310"/>
    <w:rsid w:val="00B7528A"/>
    <w:rsid w:val="00B826F7"/>
    <w:rsid w:val="00B86128"/>
    <w:rsid w:val="00B86197"/>
    <w:rsid w:val="00B93DA7"/>
    <w:rsid w:val="00BC00D5"/>
    <w:rsid w:val="00BC5E3F"/>
    <w:rsid w:val="00BD0A17"/>
    <w:rsid w:val="00BD51F5"/>
    <w:rsid w:val="00BD5783"/>
    <w:rsid w:val="00BD6E5B"/>
    <w:rsid w:val="00BE2625"/>
    <w:rsid w:val="00BF362E"/>
    <w:rsid w:val="00C06941"/>
    <w:rsid w:val="00C2549A"/>
    <w:rsid w:val="00C25918"/>
    <w:rsid w:val="00C27097"/>
    <w:rsid w:val="00C44C93"/>
    <w:rsid w:val="00C450FF"/>
    <w:rsid w:val="00C45BEC"/>
    <w:rsid w:val="00C52BE2"/>
    <w:rsid w:val="00C611A1"/>
    <w:rsid w:val="00C633C9"/>
    <w:rsid w:val="00C71CBD"/>
    <w:rsid w:val="00C735CD"/>
    <w:rsid w:val="00C73893"/>
    <w:rsid w:val="00C90DA1"/>
    <w:rsid w:val="00C9410A"/>
    <w:rsid w:val="00C96364"/>
    <w:rsid w:val="00C96881"/>
    <w:rsid w:val="00CA736E"/>
    <w:rsid w:val="00CB4CF4"/>
    <w:rsid w:val="00CC42A7"/>
    <w:rsid w:val="00CC5F55"/>
    <w:rsid w:val="00CC7FDF"/>
    <w:rsid w:val="00CD3547"/>
    <w:rsid w:val="00CD6D3F"/>
    <w:rsid w:val="00CE138D"/>
    <w:rsid w:val="00CE2F1F"/>
    <w:rsid w:val="00CE354A"/>
    <w:rsid w:val="00CF14E4"/>
    <w:rsid w:val="00CF3510"/>
    <w:rsid w:val="00CF483D"/>
    <w:rsid w:val="00D00CEB"/>
    <w:rsid w:val="00D176B8"/>
    <w:rsid w:val="00D217E9"/>
    <w:rsid w:val="00D320D1"/>
    <w:rsid w:val="00D45432"/>
    <w:rsid w:val="00D46384"/>
    <w:rsid w:val="00D72C1A"/>
    <w:rsid w:val="00D752D6"/>
    <w:rsid w:val="00D8516A"/>
    <w:rsid w:val="00D92771"/>
    <w:rsid w:val="00D93229"/>
    <w:rsid w:val="00D934A6"/>
    <w:rsid w:val="00D95A2F"/>
    <w:rsid w:val="00DA2FE8"/>
    <w:rsid w:val="00DA504F"/>
    <w:rsid w:val="00DB0AC5"/>
    <w:rsid w:val="00DC34D9"/>
    <w:rsid w:val="00DC6B79"/>
    <w:rsid w:val="00DD0932"/>
    <w:rsid w:val="00DD71F1"/>
    <w:rsid w:val="00DE202D"/>
    <w:rsid w:val="00DE6198"/>
    <w:rsid w:val="00DE7D7D"/>
    <w:rsid w:val="00DF28A0"/>
    <w:rsid w:val="00DF35A2"/>
    <w:rsid w:val="00E11C49"/>
    <w:rsid w:val="00E12E5A"/>
    <w:rsid w:val="00E220D2"/>
    <w:rsid w:val="00E2561E"/>
    <w:rsid w:val="00E46C45"/>
    <w:rsid w:val="00E5039B"/>
    <w:rsid w:val="00E520AF"/>
    <w:rsid w:val="00E55BE4"/>
    <w:rsid w:val="00E61CA7"/>
    <w:rsid w:val="00E738FF"/>
    <w:rsid w:val="00E8297F"/>
    <w:rsid w:val="00E9204A"/>
    <w:rsid w:val="00E96F73"/>
    <w:rsid w:val="00EA50E1"/>
    <w:rsid w:val="00EA5C5A"/>
    <w:rsid w:val="00EA7273"/>
    <w:rsid w:val="00EB1BC6"/>
    <w:rsid w:val="00EB2386"/>
    <w:rsid w:val="00EB3C70"/>
    <w:rsid w:val="00EB5BC1"/>
    <w:rsid w:val="00EB756D"/>
    <w:rsid w:val="00EC23A3"/>
    <w:rsid w:val="00EC2AA7"/>
    <w:rsid w:val="00EF41CF"/>
    <w:rsid w:val="00EF4566"/>
    <w:rsid w:val="00F02EA1"/>
    <w:rsid w:val="00F039E8"/>
    <w:rsid w:val="00F06C90"/>
    <w:rsid w:val="00F12896"/>
    <w:rsid w:val="00F13EE5"/>
    <w:rsid w:val="00F1718E"/>
    <w:rsid w:val="00F224F9"/>
    <w:rsid w:val="00F23B21"/>
    <w:rsid w:val="00F30A21"/>
    <w:rsid w:val="00F34FEE"/>
    <w:rsid w:val="00F4198C"/>
    <w:rsid w:val="00F43B16"/>
    <w:rsid w:val="00F55567"/>
    <w:rsid w:val="00F56122"/>
    <w:rsid w:val="00F64ABA"/>
    <w:rsid w:val="00F65BDA"/>
    <w:rsid w:val="00F740FA"/>
    <w:rsid w:val="00F80885"/>
    <w:rsid w:val="00F84AC5"/>
    <w:rsid w:val="00F856C8"/>
    <w:rsid w:val="00F95B7C"/>
    <w:rsid w:val="00F95BCC"/>
    <w:rsid w:val="00FA0FD0"/>
    <w:rsid w:val="00FA23CD"/>
    <w:rsid w:val="00FA507E"/>
    <w:rsid w:val="00FC74B2"/>
    <w:rsid w:val="00FE106D"/>
    <w:rsid w:val="00FE27C5"/>
    <w:rsid w:val="00FE3C56"/>
    <w:rsid w:val="00FF25EE"/>
    <w:rsid w:val="00FF49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5A91FD4-1CD7-4CE3-AB88-7165EC1C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AF"/>
    <w:pPr>
      <w:spacing w:line="280" w:lineRule="atLeast"/>
      <w:jc w:val="both"/>
    </w:pPr>
    <w:rPr>
      <w:rFonts w:ascii="Palatino Linotype" w:hAnsi="Palatino Linotype"/>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DPI11articletype">
    <w:name w:val="MDPI_1.1_article_type"/>
    <w:next w:val="Normal"/>
    <w:qFormat/>
    <w:rsid w:val="007713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7713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7713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7713AF"/>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7713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7713AF"/>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7713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7713AF"/>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alTablo"/>
    <w:uiPriority w:val="99"/>
    <w:rsid w:val="00F23B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oKlavuzu">
    <w:name w:val="Table Grid"/>
    <w:basedOn w:val="NormalTablo"/>
    <w:uiPriority w:val="59"/>
    <w:rsid w:val="007713A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7713AF"/>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7713AF"/>
    <w:rPr>
      <w:rFonts w:ascii="Palatino Linotype" w:hAnsi="Palatino Linotype"/>
      <w:noProof/>
      <w:color w:val="000000"/>
      <w:szCs w:val="18"/>
    </w:rPr>
  </w:style>
  <w:style w:type="paragraph" w:customStyle="1" w:styleId="MDPI32textnoindent">
    <w:name w:val="MDPI_3.2_text_no_indent"/>
    <w:basedOn w:val="MDPI31text"/>
    <w:qFormat/>
    <w:rsid w:val="007713AF"/>
    <w:pPr>
      <w:ind w:firstLine="0"/>
    </w:pPr>
  </w:style>
  <w:style w:type="paragraph" w:customStyle="1" w:styleId="MDPI31text">
    <w:name w:val="MDPI_3.1_text"/>
    <w:qFormat/>
    <w:rsid w:val="00D00CE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7713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7713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7713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7713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E5987"/>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E5987"/>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7713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7713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7713AF"/>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B7D8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7713AF"/>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7713AF"/>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7713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7713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7713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7713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7713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7713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C1244"/>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onMetni">
    <w:name w:val="Balloon Text"/>
    <w:basedOn w:val="Normal"/>
    <w:link w:val="BalonMetniChar"/>
    <w:uiPriority w:val="99"/>
    <w:rsid w:val="007713AF"/>
    <w:rPr>
      <w:rFonts w:cs="Tahoma"/>
      <w:szCs w:val="18"/>
    </w:rPr>
  </w:style>
  <w:style w:type="character" w:customStyle="1" w:styleId="BalonMetniChar">
    <w:name w:val="Balon Metni Char"/>
    <w:link w:val="BalonMetni"/>
    <w:uiPriority w:val="99"/>
    <w:rsid w:val="007713AF"/>
    <w:rPr>
      <w:rFonts w:ascii="Palatino Linotype" w:hAnsi="Palatino Linotype" w:cs="Tahoma"/>
      <w:noProof/>
      <w:color w:val="000000"/>
      <w:szCs w:val="18"/>
    </w:rPr>
  </w:style>
  <w:style w:type="character" w:styleId="SatrNumaras">
    <w:name w:val="line number"/>
    <w:uiPriority w:val="99"/>
    <w:rsid w:val="007F69C3"/>
    <w:rPr>
      <w:rFonts w:ascii="Palatino Linotype" w:hAnsi="Palatino Linotype"/>
      <w:sz w:val="16"/>
    </w:rPr>
  </w:style>
  <w:style w:type="table" w:customStyle="1" w:styleId="MDPI41threelinetable">
    <w:name w:val="MDPI_4.1_three_line_table"/>
    <w:basedOn w:val="NormalTablo"/>
    <w:uiPriority w:val="99"/>
    <w:rsid w:val="007713AF"/>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Kpr">
    <w:name w:val="Hyperlink"/>
    <w:uiPriority w:val="99"/>
    <w:rsid w:val="007713AF"/>
    <w:rPr>
      <w:color w:val="0000FF"/>
      <w:u w:val="single"/>
    </w:rPr>
  </w:style>
  <w:style w:type="character" w:customStyle="1" w:styleId="UnresolvedMention">
    <w:name w:val="Unresolved Mention"/>
    <w:uiPriority w:val="99"/>
    <w:semiHidden/>
    <w:unhideWhenUsed/>
    <w:rsid w:val="002C3620"/>
    <w:rPr>
      <w:color w:val="605E5C"/>
      <w:shd w:val="clear" w:color="auto" w:fill="E1DFDD"/>
    </w:rPr>
  </w:style>
  <w:style w:type="paragraph" w:styleId="AltBilgi">
    <w:name w:val="footer"/>
    <w:basedOn w:val="Normal"/>
    <w:link w:val="AltBilgiChar"/>
    <w:uiPriority w:val="99"/>
    <w:rsid w:val="007713AF"/>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7713AF"/>
    <w:rPr>
      <w:rFonts w:ascii="Palatino Linotype" w:hAnsi="Palatino Linotype"/>
      <w:noProof/>
      <w:color w:val="000000"/>
      <w:szCs w:val="18"/>
    </w:rPr>
  </w:style>
  <w:style w:type="table" w:styleId="DzTablo4">
    <w:name w:val="Plain Table 4"/>
    <w:basedOn w:val="NormalTablo"/>
    <w:uiPriority w:val="44"/>
    <w:rsid w:val="008A3A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713AF"/>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7713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7713AF"/>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84CB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7713AF"/>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7713AF"/>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DB0AC5"/>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NormalTablo"/>
    <w:uiPriority w:val="99"/>
    <w:rsid w:val="007713AF"/>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7713AF"/>
  </w:style>
  <w:style w:type="paragraph" w:styleId="Kaynaka">
    <w:name w:val="Bibliography"/>
    <w:basedOn w:val="Normal"/>
    <w:next w:val="Normal"/>
    <w:uiPriority w:val="37"/>
    <w:semiHidden/>
    <w:unhideWhenUsed/>
    <w:rsid w:val="007713AF"/>
  </w:style>
  <w:style w:type="paragraph" w:styleId="GvdeMetni">
    <w:name w:val="Body Text"/>
    <w:link w:val="GvdeMetniChar"/>
    <w:rsid w:val="007713AF"/>
    <w:pPr>
      <w:spacing w:after="120" w:line="340" w:lineRule="atLeast"/>
      <w:jc w:val="both"/>
    </w:pPr>
    <w:rPr>
      <w:rFonts w:ascii="Palatino Linotype" w:hAnsi="Palatino Linotype"/>
      <w:color w:val="000000"/>
      <w:sz w:val="24"/>
      <w:lang w:eastAsia="de-DE"/>
    </w:rPr>
  </w:style>
  <w:style w:type="character" w:customStyle="1" w:styleId="GvdeMetniChar">
    <w:name w:val="Gövde Metni Char"/>
    <w:link w:val="GvdeMetni"/>
    <w:rsid w:val="007713AF"/>
    <w:rPr>
      <w:rFonts w:ascii="Palatino Linotype" w:hAnsi="Palatino Linotype"/>
      <w:color w:val="000000"/>
      <w:sz w:val="24"/>
      <w:lang w:eastAsia="de-DE"/>
    </w:rPr>
  </w:style>
  <w:style w:type="character" w:styleId="AklamaBavurusu">
    <w:name w:val="annotation reference"/>
    <w:rsid w:val="007713AF"/>
    <w:rPr>
      <w:sz w:val="21"/>
      <w:szCs w:val="21"/>
    </w:rPr>
  </w:style>
  <w:style w:type="paragraph" w:styleId="AklamaMetni">
    <w:name w:val="annotation text"/>
    <w:basedOn w:val="Normal"/>
    <w:link w:val="AklamaMetniChar"/>
    <w:rsid w:val="007713AF"/>
  </w:style>
  <w:style w:type="character" w:customStyle="1" w:styleId="AklamaMetniChar">
    <w:name w:val="Açıklama Metni Char"/>
    <w:link w:val="AklamaMetni"/>
    <w:rsid w:val="007713AF"/>
    <w:rPr>
      <w:rFonts w:ascii="Palatino Linotype" w:hAnsi="Palatino Linotype"/>
      <w:noProof/>
      <w:color w:val="000000"/>
    </w:rPr>
  </w:style>
  <w:style w:type="paragraph" w:styleId="AklamaKonusu">
    <w:name w:val="annotation subject"/>
    <w:basedOn w:val="AklamaMetni"/>
    <w:next w:val="AklamaMetni"/>
    <w:link w:val="AklamaKonusuChar"/>
    <w:rsid w:val="007713AF"/>
    <w:rPr>
      <w:b/>
      <w:bCs/>
    </w:rPr>
  </w:style>
  <w:style w:type="character" w:customStyle="1" w:styleId="AklamaKonusuChar">
    <w:name w:val="Açıklama Konusu Char"/>
    <w:link w:val="AklamaKonusu"/>
    <w:rsid w:val="007713AF"/>
    <w:rPr>
      <w:rFonts w:ascii="Palatino Linotype" w:hAnsi="Palatino Linotype"/>
      <w:b/>
      <w:bCs/>
      <w:noProof/>
      <w:color w:val="000000"/>
    </w:rPr>
  </w:style>
  <w:style w:type="character" w:styleId="SonnotBavurusu">
    <w:name w:val="endnote reference"/>
    <w:rsid w:val="007713AF"/>
    <w:rPr>
      <w:vertAlign w:val="superscript"/>
    </w:rPr>
  </w:style>
  <w:style w:type="paragraph" w:styleId="SonnotMetni">
    <w:name w:val="endnote text"/>
    <w:basedOn w:val="Normal"/>
    <w:link w:val="SonnotMetniChar"/>
    <w:semiHidden/>
    <w:unhideWhenUsed/>
    <w:rsid w:val="007713AF"/>
    <w:pPr>
      <w:spacing w:line="240" w:lineRule="auto"/>
    </w:pPr>
  </w:style>
  <w:style w:type="character" w:customStyle="1" w:styleId="SonnotMetniChar">
    <w:name w:val="Sonnot Metni Char"/>
    <w:link w:val="SonnotMetni"/>
    <w:semiHidden/>
    <w:rsid w:val="007713AF"/>
    <w:rPr>
      <w:rFonts w:ascii="Palatino Linotype" w:hAnsi="Palatino Linotype"/>
      <w:noProof/>
      <w:color w:val="000000"/>
    </w:rPr>
  </w:style>
  <w:style w:type="character" w:styleId="zlenenKpr">
    <w:name w:val="FollowedHyperlink"/>
    <w:rsid w:val="007713AF"/>
    <w:rPr>
      <w:color w:val="954F72"/>
      <w:u w:val="single"/>
    </w:rPr>
  </w:style>
  <w:style w:type="paragraph" w:styleId="DipnotMetni">
    <w:name w:val="footnote text"/>
    <w:basedOn w:val="Normal"/>
    <w:link w:val="DipnotMetniChar"/>
    <w:semiHidden/>
    <w:unhideWhenUsed/>
    <w:rsid w:val="007713AF"/>
    <w:pPr>
      <w:spacing w:line="240" w:lineRule="auto"/>
    </w:pPr>
  </w:style>
  <w:style w:type="character" w:customStyle="1" w:styleId="DipnotMetniChar">
    <w:name w:val="Dipnot Metni Char"/>
    <w:link w:val="DipnotMetni"/>
    <w:semiHidden/>
    <w:rsid w:val="007713AF"/>
    <w:rPr>
      <w:rFonts w:ascii="Palatino Linotype" w:hAnsi="Palatino Linotype"/>
      <w:noProof/>
      <w:color w:val="000000"/>
    </w:rPr>
  </w:style>
  <w:style w:type="paragraph" w:styleId="NormalWeb">
    <w:name w:val="Normal (Web)"/>
    <w:basedOn w:val="Normal"/>
    <w:uiPriority w:val="99"/>
    <w:rsid w:val="007713AF"/>
    <w:rPr>
      <w:szCs w:val="24"/>
    </w:rPr>
  </w:style>
  <w:style w:type="paragraph" w:customStyle="1" w:styleId="MsoFootnoteText0">
    <w:name w:val="MsoFootnoteText"/>
    <w:basedOn w:val="NormalWeb"/>
    <w:qFormat/>
    <w:rsid w:val="007713AF"/>
    <w:rPr>
      <w:rFonts w:ascii="Times New Roman" w:hAnsi="Times New Roman"/>
    </w:rPr>
  </w:style>
  <w:style w:type="character" w:styleId="SayfaNumaras">
    <w:name w:val="page number"/>
    <w:rsid w:val="007713AF"/>
  </w:style>
  <w:style w:type="character" w:styleId="YerTutucuMetni">
    <w:name w:val="Placeholder Text"/>
    <w:uiPriority w:val="99"/>
    <w:semiHidden/>
    <w:rsid w:val="007713AF"/>
    <w:rPr>
      <w:color w:val="808080"/>
    </w:rPr>
  </w:style>
  <w:style w:type="paragraph" w:customStyle="1" w:styleId="MDPI71footnotes">
    <w:name w:val="MDPI_7.1_footnotes"/>
    <w:qFormat/>
    <w:rsid w:val="0025009E"/>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Gl">
    <w:name w:val="Strong"/>
    <w:basedOn w:val="VarsaylanParagrafYazTipi"/>
    <w:uiPriority w:val="22"/>
    <w:qFormat/>
    <w:rsid w:val="00116A34"/>
    <w:rPr>
      <w:b/>
      <w:bCs/>
    </w:rPr>
  </w:style>
  <w:style w:type="character" w:customStyle="1" w:styleId="citation-69">
    <w:name w:val="citation-69"/>
    <w:basedOn w:val="VarsaylanParagrafYazTipi"/>
    <w:rsid w:val="00F5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470334">
      <w:bodyDiv w:val="1"/>
      <w:marLeft w:val="0"/>
      <w:marRight w:val="0"/>
      <w:marTop w:val="0"/>
      <w:marBottom w:val="0"/>
      <w:divBdr>
        <w:top w:val="none" w:sz="0" w:space="0" w:color="auto"/>
        <w:left w:val="none" w:sz="0" w:space="0" w:color="auto"/>
        <w:bottom w:val="none" w:sz="0" w:space="0" w:color="auto"/>
        <w:right w:val="none" w:sz="0" w:space="0" w:color="auto"/>
      </w:divBdr>
    </w:div>
    <w:div w:id="665861003">
      <w:bodyDiv w:val="1"/>
      <w:marLeft w:val="0"/>
      <w:marRight w:val="0"/>
      <w:marTop w:val="0"/>
      <w:marBottom w:val="0"/>
      <w:divBdr>
        <w:top w:val="none" w:sz="0" w:space="0" w:color="auto"/>
        <w:left w:val="none" w:sz="0" w:space="0" w:color="auto"/>
        <w:bottom w:val="none" w:sz="0" w:space="0" w:color="auto"/>
        <w:right w:val="none" w:sz="0" w:space="0" w:color="auto"/>
      </w:divBdr>
    </w:div>
    <w:div w:id="743647197">
      <w:bodyDiv w:val="1"/>
      <w:marLeft w:val="0"/>
      <w:marRight w:val="0"/>
      <w:marTop w:val="0"/>
      <w:marBottom w:val="0"/>
      <w:divBdr>
        <w:top w:val="none" w:sz="0" w:space="0" w:color="auto"/>
        <w:left w:val="none" w:sz="0" w:space="0" w:color="auto"/>
        <w:bottom w:val="none" w:sz="0" w:space="0" w:color="auto"/>
        <w:right w:val="none" w:sz="0" w:space="0" w:color="auto"/>
      </w:divBdr>
    </w:div>
    <w:div w:id="1159809051">
      <w:bodyDiv w:val="1"/>
      <w:marLeft w:val="0"/>
      <w:marRight w:val="0"/>
      <w:marTop w:val="0"/>
      <w:marBottom w:val="0"/>
      <w:divBdr>
        <w:top w:val="none" w:sz="0" w:space="0" w:color="auto"/>
        <w:left w:val="none" w:sz="0" w:space="0" w:color="auto"/>
        <w:bottom w:val="none" w:sz="0" w:space="0" w:color="auto"/>
        <w:right w:val="none" w:sz="0" w:space="0" w:color="auto"/>
      </w:divBdr>
      <w:divsChild>
        <w:div w:id="1182277412">
          <w:marLeft w:val="0"/>
          <w:marRight w:val="0"/>
          <w:marTop w:val="120"/>
          <w:marBottom w:val="120"/>
          <w:divBdr>
            <w:top w:val="none" w:sz="0" w:space="0" w:color="auto"/>
            <w:left w:val="none" w:sz="0" w:space="0" w:color="auto"/>
            <w:bottom w:val="none" w:sz="0" w:space="0" w:color="auto"/>
            <w:right w:val="none" w:sz="0" w:space="0" w:color="auto"/>
          </w:divBdr>
        </w:div>
      </w:divsChild>
    </w:div>
    <w:div w:id="1484926602">
      <w:bodyDiv w:val="1"/>
      <w:marLeft w:val="0"/>
      <w:marRight w:val="0"/>
      <w:marTop w:val="0"/>
      <w:marBottom w:val="0"/>
      <w:divBdr>
        <w:top w:val="none" w:sz="0" w:space="0" w:color="auto"/>
        <w:left w:val="none" w:sz="0" w:space="0" w:color="auto"/>
        <w:bottom w:val="none" w:sz="0" w:space="0" w:color="auto"/>
        <w:right w:val="none" w:sz="0" w:space="0" w:color="auto"/>
      </w:divBdr>
      <w:divsChild>
        <w:div w:id="1618217717">
          <w:marLeft w:val="0"/>
          <w:marRight w:val="0"/>
          <w:marTop w:val="120"/>
          <w:marBottom w:val="120"/>
          <w:divBdr>
            <w:top w:val="none" w:sz="0" w:space="0" w:color="auto"/>
            <w:left w:val="none" w:sz="0" w:space="0" w:color="auto"/>
            <w:bottom w:val="none" w:sz="0" w:space="0" w:color="auto"/>
            <w:right w:val="none" w:sz="0" w:space="0" w:color="auto"/>
          </w:divBdr>
        </w:div>
      </w:divsChild>
    </w:div>
    <w:div w:id="1913345697">
      <w:bodyDiv w:val="1"/>
      <w:marLeft w:val="0"/>
      <w:marRight w:val="0"/>
      <w:marTop w:val="0"/>
      <w:marBottom w:val="0"/>
      <w:divBdr>
        <w:top w:val="none" w:sz="0" w:space="0" w:color="auto"/>
        <w:left w:val="none" w:sz="0" w:space="0" w:color="auto"/>
        <w:bottom w:val="none" w:sz="0" w:space="0" w:color="auto"/>
        <w:right w:val="none" w:sz="0" w:space="0" w:color="auto"/>
      </w:divBdr>
      <w:divsChild>
        <w:div w:id="1068184746">
          <w:marLeft w:val="0"/>
          <w:marRight w:val="0"/>
          <w:marTop w:val="120"/>
          <w:marBottom w:val="120"/>
          <w:divBdr>
            <w:top w:val="none" w:sz="0" w:space="0" w:color="auto"/>
            <w:left w:val="none" w:sz="0" w:space="0" w:color="auto"/>
            <w:bottom w:val="none" w:sz="0" w:space="0" w:color="auto"/>
            <w:right w:val="none" w:sz="0" w:space="0" w:color="auto"/>
          </w:divBdr>
        </w:div>
      </w:divsChild>
    </w:div>
    <w:div w:id="1964769775">
      <w:bodyDiv w:val="1"/>
      <w:marLeft w:val="0"/>
      <w:marRight w:val="0"/>
      <w:marTop w:val="0"/>
      <w:marBottom w:val="0"/>
      <w:divBdr>
        <w:top w:val="none" w:sz="0" w:space="0" w:color="auto"/>
        <w:left w:val="none" w:sz="0" w:space="0" w:color="auto"/>
        <w:bottom w:val="none" w:sz="0" w:space="0" w:color="auto"/>
        <w:right w:val="none" w:sz="0" w:space="0" w:color="auto"/>
      </w:divBdr>
    </w:div>
    <w:div w:id="2005892488">
      <w:bodyDiv w:val="1"/>
      <w:marLeft w:val="0"/>
      <w:marRight w:val="0"/>
      <w:marTop w:val="0"/>
      <w:marBottom w:val="0"/>
      <w:divBdr>
        <w:top w:val="none" w:sz="0" w:space="0" w:color="auto"/>
        <w:left w:val="none" w:sz="0" w:space="0" w:color="auto"/>
        <w:bottom w:val="none" w:sz="0" w:space="0" w:color="auto"/>
        <w:right w:val="none" w:sz="0" w:space="0" w:color="auto"/>
      </w:divBdr>
      <w:divsChild>
        <w:div w:id="134224661">
          <w:marLeft w:val="0"/>
          <w:marRight w:val="0"/>
          <w:marTop w:val="120"/>
          <w:marBottom w:val="12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y\Desktop\Makale%20-%20Literat&#252;r%20&#231;al&#305;&#351;malar&#305;\Derya%20Hoca\Gum%20arabic\antibiot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antibiotics-template</Template>
  <TotalTime>0</TotalTime>
  <Pages>18</Pages>
  <Words>9635</Words>
  <Characters>54925</Characters>
  <Application>Microsoft Office Word</Application>
  <DocSecurity>0</DocSecurity>
  <Lines>457</Lines>
  <Paragraphs>128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64432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Eray</dc:creator>
  <cp:keywords/>
  <dc:description/>
  <cp:lastModifiedBy>VENAR</cp:lastModifiedBy>
  <cp:revision>2</cp:revision>
  <dcterms:created xsi:type="dcterms:W3CDTF">2026-04-07T12:38:00Z</dcterms:created>
  <dcterms:modified xsi:type="dcterms:W3CDTF">2026-04-07T12:38:00Z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454a0d9665e248b25bc084b05c9c25d22c4049ed1a4fdf1ae4bf506f97ada112</vt:lpwstr>
  </property>
</Properties>
</file>