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F0738" w14:textId="77777777" w:rsidR="00F10E2D" w:rsidRPr="003D585B" w:rsidRDefault="00F10E2D" w:rsidP="00F10E2D">
      <w:pPr>
        <w:pStyle w:val="MDPI11articletype"/>
      </w:pPr>
      <w:bookmarkStart w:id="0" w:name="_GoBack"/>
      <w:bookmarkEnd w:id="0"/>
      <w:r w:rsidRPr="003D585B">
        <w:t>Type of the Paper (Article, Review, Communication, etc.)</w:t>
      </w:r>
    </w:p>
    <w:p w14:paraId="4BA4ACA2" w14:textId="0A5F3854" w:rsidR="00F10E2D" w:rsidRPr="003D585B" w:rsidRDefault="00775FD7" w:rsidP="00F10E2D">
      <w:pPr>
        <w:pStyle w:val="MDPI12title"/>
      </w:pPr>
      <w:r w:rsidRPr="00775FD7">
        <w:t>Gum Arabic Exhibits Anticancer Activity in Colorectal Cancer Via Modulation of Antioxidant Responses and Iron Homeostasis</w:t>
      </w:r>
    </w:p>
    <w:p w14:paraId="077FB306" w14:textId="247110F8" w:rsidR="003A0EF7" w:rsidRPr="003D585B" w:rsidRDefault="00775FD7" w:rsidP="00F10E2D">
      <w:pPr>
        <w:pStyle w:val="MDPI13authornames"/>
      </w:pPr>
      <w:r>
        <w:t>Emre</w:t>
      </w:r>
      <w:r w:rsidR="00F10E2D" w:rsidRPr="003D585B">
        <w:t xml:space="preserve"> </w:t>
      </w:r>
      <w:r>
        <w:t>Cebeci</w:t>
      </w:r>
      <w:r w:rsidR="00F10E2D" w:rsidRPr="003D585B">
        <w:t xml:space="preserve"> </w:t>
      </w:r>
      <w:r w:rsidR="00F10E2D" w:rsidRPr="003D585B">
        <w:rPr>
          <w:vertAlign w:val="superscript"/>
        </w:rPr>
        <w:t>1</w:t>
      </w:r>
      <w:r w:rsidR="00F10E2D" w:rsidRPr="003D585B">
        <w:t xml:space="preserve">, </w:t>
      </w:r>
      <w:r>
        <w:t>Büşra</w:t>
      </w:r>
      <w:r w:rsidR="00F10E2D" w:rsidRPr="003D585B">
        <w:t xml:space="preserve"> </w:t>
      </w:r>
      <w:r>
        <w:t>Yüksel</w:t>
      </w:r>
      <w:r w:rsidR="00F10E2D" w:rsidRPr="003D585B">
        <w:t xml:space="preserve"> </w:t>
      </w:r>
      <w:r>
        <w:rPr>
          <w:vertAlign w:val="superscript"/>
        </w:rPr>
        <w:t xml:space="preserve">1 </w:t>
      </w:r>
      <w:r>
        <w:t>, Şahin</w:t>
      </w:r>
      <w:r w:rsidRPr="003D585B">
        <w:t xml:space="preserve"> </w:t>
      </w:r>
      <w:r>
        <w:t>Yılmaz</w:t>
      </w:r>
      <w:r w:rsidRPr="003D585B">
        <w:t xml:space="preserve"> </w:t>
      </w:r>
      <w:r>
        <w:rPr>
          <w:vertAlign w:val="superscript"/>
        </w:rPr>
        <w:t>1</w:t>
      </w:r>
      <w:r>
        <w:t>, Reyhan</w:t>
      </w:r>
      <w:r w:rsidRPr="00775FD7">
        <w:t xml:space="preserve"> </w:t>
      </w:r>
      <w:r>
        <w:t>Aliusta</w:t>
      </w:r>
      <w:r w:rsidRPr="00775FD7">
        <w:t xml:space="preserve"> </w:t>
      </w:r>
      <w:r>
        <w:rPr>
          <w:vertAlign w:val="superscript"/>
        </w:rPr>
        <w:t>2</w:t>
      </w:r>
      <w:r w:rsidRPr="00775FD7">
        <w:rPr>
          <w:vertAlign w:val="superscript"/>
        </w:rPr>
        <w:t xml:space="preserve"> </w:t>
      </w:r>
      <w:r w:rsidR="00F10E2D" w:rsidRPr="003D585B">
        <w:t>and Fi</w:t>
      </w:r>
      <w:r>
        <w:t>krettin</w:t>
      </w:r>
      <w:r w:rsidR="00F10E2D" w:rsidRPr="003D585B">
        <w:t xml:space="preserve"> </w:t>
      </w:r>
      <w:r>
        <w:t>Şahin</w:t>
      </w:r>
      <w:r w:rsidR="00F10E2D" w:rsidRPr="003D585B">
        <w:t xml:space="preserve"> </w:t>
      </w:r>
      <w:r>
        <w:rPr>
          <w:vertAlign w:val="superscript"/>
        </w:rPr>
        <w:t>1</w:t>
      </w:r>
      <w:r w:rsidR="00F10E2D" w:rsidRPr="003D585B">
        <w:rPr>
          <w:vertAlign w:val="superscript"/>
        </w:rPr>
        <w:t>,</w:t>
      </w:r>
      <w:r w:rsidR="00F10E2D" w:rsidRPr="003D585B">
        <w:t>*</w:t>
      </w:r>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3A0EF7" w:rsidRPr="003D585B" w14:paraId="197A77B3" w14:textId="77777777" w:rsidTr="000D20E3">
        <w:tc>
          <w:tcPr>
            <w:tcW w:w="2410" w:type="dxa"/>
            <w:shd w:val="clear" w:color="auto" w:fill="auto"/>
          </w:tcPr>
          <w:p w14:paraId="49039D6F" w14:textId="77777777" w:rsidR="003A0EF7" w:rsidRPr="003D585B" w:rsidRDefault="003A0EF7" w:rsidP="000D20E3">
            <w:pPr>
              <w:pStyle w:val="MDPI15academiceditor"/>
              <w:spacing w:before="0" w:after="120"/>
            </w:pPr>
            <w:r w:rsidRPr="003D585B">
              <w:t>Academic Editor: Firstname Lastname</w:t>
            </w:r>
          </w:p>
          <w:p w14:paraId="2ABB8444" w14:textId="77777777" w:rsidR="003A0EF7" w:rsidRPr="003D585B" w:rsidRDefault="003A0EF7" w:rsidP="000D20E3">
            <w:pPr>
              <w:pStyle w:val="MDPI14history"/>
              <w:spacing w:before="120"/>
            </w:pPr>
            <w:r w:rsidRPr="003D585B">
              <w:t>Received: date</w:t>
            </w:r>
          </w:p>
          <w:p w14:paraId="76CDEF7B" w14:textId="77777777" w:rsidR="003A0EF7" w:rsidRPr="003D585B" w:rsidRDefault="003A0EF7" w:rsidP="000D20E3">
            <w:pPr>
              <w:pStyle w:val="MDPI14history"/>
            </w:pPr>
            <w:r w:rsidRPr="003D585B">
              <w:t>Revised: date</w:t>
            </w:r>
          </w:p>
          <w:p w14:paraId="55692629" w14:textId="77777777" w:rsidR="003A0EF7" w:rsidRPr="003D585B" w:rsidRDefault="003A0EF7" w:rsidP="000D20E3">
            <w:pPr>
              <w:pStyle w:val="MDPI14history"/>
            </w:pPr>
            <w:r w:rsidRPr="003D585B">
              <w:t>Accepted: date</w:t>
            </w:r>
          </w:p>
          <w:p w14:paraId="3DE9E310" w14:textId="77777777" w:rsidR="003A0EF7" w:rsidRPr="003D585B" w:rsidRDefault="003A0EF7" w:rsidP="000D20E3">
            <w:pPr>
              <w:pStyle w:val="MDPI14history"/>
              <w:spacing w:after="120"/>
            </w:pPr>
            <w:r w:rsidRPr="003D585B">
              <w:t>Published: date</w:t>
            </w:r>
          </w:p>
          <w:p w14:paraId="50B8B36E" w14:textId="77777777" w:rsidR="003A0EF7" w:rsidRPr="003D585B" w:rsidRDefault="003A0EF7" w:rsidP="000D20E3">
            <w:pPr>
              <w:pStyle w:val="MDPI61citation"/>
              <w:rPr>
                <w:lang w:bidi="en-US"/>
              </w:rPr>
            </w:pPr>
            <w:r w:rsidRPr="003D585B">
              <w:rPr>
                <w:b/>
                <w:lang w:bidi="en-US"/>
              </w:rPr>
              <w:t xml:space="preserve">Citation: </w:t>
            </w:r>
            <w:r w:rsidRPr="003D585B">
              <w:rPr>
                <w:lang w:bidi="en-US"/>
              </w:rPr>
              <w:t>To be added by editorial staff during production.</w:t>
            </w:r>
          </w:p>
          <w:p w14:paraId="58C85BE6" w14:textId="77777777" w:rsidR="003A0EF7" w:rsidRPr="003D585B" w:rsidRDefault="003A0EF7" w:rsidP="000D20E3">
            <w:pPr>
              <w:pStyle w:val="MDPI72copyright"/>
              <w:rPr>
                <w:rFonts w:eastAsia="DengXian"/>
                <w:noProof w:val="0"/>
                <w:lang w:val="en-US" w:bidi="en-US"/>
              </w:rPr>
            </w:pPr>
            <w:r w:rsidRPr="003D585B">
              <w:rPr>
                <w:rFonts w:eastAsia="DengXian"/>
                <w:b/>
                <w:noProof w:val="0"/>
                <w:lang w:val="en-US" w:bidi="en-US"/>
              </w:rPr>
              <w:t>Copyright:</w:t>
            </w:r>
            <w:r w:rsidRPr="003D585B">
              <w:rPr>
                <w:rFonts w:eastAsia="DengXian"/>
                <w:noProof w:val="0"/>
                <w:lang w:val="en-US" w:bidi="en-US"/>
              </w:rPr>
              <w:t xml:space="preserve"> © 2025 by the authors. Submitted for possible open access publication under the terms and conditions of the Creative Commons Attribution (CC BY) license (https://creativecommons.org/licenses/by/4.0/).</w:t>
            </w:r>
          </w:p>
        </w:tc>
      </w:tr>
    </w:tbl>
    <w:p w14:paraId="0A4ECC26" w14:textId="121AFB04" w:rsidR="00F10E2D" w:rsidRPr="003D585B" w:rsidRDefault="00243B00" w:rsidP="00F10E2D">
      <w:pPr>
        <w:pStyle w:val="MDPI16affiliation"/>
      </w:pPr>
      <w:r w:rsidRPr="003D585B">
        <w:rPr>
          <w:vertAlign w:val="superscript"/>
        </w:rPr>
        <w:t>1</w:t>
      </w:r>
      <w:r w:rsidR="00F10E2D" w:rsidRPr="003D585B">
        <w:tab/>
      </w:r>
      <w:r w:rsidR="00775FD7">
        <w:t>Yeditepe University, Faculty of Engineering, Department of Genetics and Bioengineering, Kayışdağı, İstanbul 34755, Turkiye</w:t>
      </w:r>
      <w:r w:rsidR="00F10E2D" w:rsidRPr="003D585B">
        <w:t>; e-mail@e-mail.com</w:t>
      </w:r>
    </w:p>
    <w:p w14:paraId="0BFA712D" w14:textId="23A5EF87" w:rsidR="00F10E2D" w:rsidRPr="003D585B" w:rsidRDefault="00F10E2D" w:rsidP="00F10E2D">
      <w:pPr>
        <w:pStyle w:val="MDPI16affiliation"/>
      </w:pPr>
      <w:r w:rsidRPr="003D585B">
        <w:rPr>
          <w:vertAlign w:val="superscript"/>
        </w:rPr>
        <w:t>2</w:t>
      </w:r>
      <w:r w:rsidRPr="003D585B">
        <w:tab/>
      </w:r>
      <w:r w:rsidR="00775FD7">
        <w:t xml:space="preserve">Venar Sağlık, Başkent Organized Industrial Zone, Teknokent Blvd. No:39, Malıköy, Sincan, Ankara, Turkiye </w:t>
      </w:r>
      <w:r w:rsidRPr="003D585B">
        <w:t>; e-mail@e-mail.com</w:t>
      </w:r>
    </w:p>
    <w:p w14:paraId="21D474A3" w14:textId="27061E85" w:rsidR="00F10E2D" w:rsidRPr="003D585B" w:rsidRDefault="00F10E2D" w:rsidP="00F10E2D">
      <w:pPr>
        <w:pStyle w:val="MDPI16affiliation"/>
      </w:pPr>
      <w:r w:rsidRPr="003D585B">
        <w:rPr>
          <w:b/>
        </w:rPr>
        <w:t>*</w:t>
      </w:r>
      <w:r w:rsidRPr="003D585B">
        <w:tab/>
        <w:t xml:space="preserve">Correspondence: </w:t>
      </w:r>
      <w:r w:rsidR="00775FD7">
        <w:t>emre.cebeci34@gmail.com</w:t>
      </w:r>
      <w:r w:rsidRPr="003D585B">
        <w:t xml:space="preserve">; </w:t>
      </w:r>
    </w:p>
    <w:p w14:paraId="6E8B47E9" w14:textId="77777777" w:rsidR="001A7564" w:rsidRPr="001A7564" w:rsidRDefault="00F10E2D" w:rsidP="001A7564">
      <w:pPr>
        <w:pStyle w:val="MDPI17abstract"/>
        <w:jc w:val="left"/>
        <w:rPr>
          <w:b/>
        </w:rPr>
      </w:pPr>
      <w:r w:rsidRPr="001A7564">
        <w:rPr>
          <w:b/>
        </w:rPr>
        <w:t>Abstract</w:t>
      </w:r>
    </w:p>
    <w:p w14:paraId="0BDC867E" w14:textId="77777777" w:rsidR="00487134" w:rsidRPr="00487134" w:rsidRDefault="00F10E2D" w:rsidP="00487134">
      <w:pPr>
        <w:pStyle w:val="MDPI17abstract"/>
      </w:pPr>
      <w:r w:rsidRPr="003D585B">
        <w:t xml:space="preserve">(1) Background: </w:t>
      </w:r>
      <w:r w:rsidR="00487134" w:rsidRPr="00487134">
        <w:t>Colorectal cancer (CRC) is a major global health concern, and natural compounds with selective cytotoxicity offer promising therapeutic alternatives. Gum Arabic (GA), a natural polysaccharide, has been reported to possess antioxidant and anti-inflammatory properties, yet its molecular effects on cancer cells remain poorly understood</w:t>
      </w:r>
      <w:r w:rsidR="00487134">
        <w:t>;</w:t>
      </w:r>
      <w:r w:rsidR="000F61D2" w:rsidRPr="003D585B">
        <w:t xml:space="preserve"> (2) Methods: </w:t>
      </w:r>
      <w:r w:rsidR="00487134" w:rsidRPr="00487134">
        <w:t>This study aimed to evaluate the anti-cancer potential of GA in human CRC cell lines (HT-29 and HCT-116) compared to normal fibroblasts (MRC-5) by using the MTS assay. To explore oxidative stress responses, the expression levels of GPX4, GSTA2, CAT, NFKB, and SOD1 were analyzed by qPCR. In addition, changes in extracellular concentrations of key metal ions (Fe²⁺, Zn²⁺, Mn²⁺, Mg²⁺, Cu²⁺, Al³⁺) were measured following GA exposure</w:t>
      </w:r>
      <w:r w:rsidR="00487134">
        <w:t>;</w:t>
      </w:r>
      <w:r w:rsidR="000F61D2" w:rsidRPr="003D585B">
        <w:t xml:space="preserve"> (3) Results</w:t>
      </w:r>
      <w:r w:rsidR="00487134">
        <w:t>:</w:t>
      </w:r>
      <w:r w:rsidR="00487134" w:rsidRPr="00487134">
        <w:rPr>
          <w:rFonts w:ascii="Times New Roman" w:eastAsiaTheme="minorHAnsi" w:hAnsi="Times New Roman"/>
          <w:color w:val="auto"/>
          <w:sz w:val="24"/>
          <w:szCs w:val="24"/>
          <w:lang w:eastAsia="en-US" w:bidi="ar-SA"/>
        </w:rPr>
        <w:t xml:space="preserve"> </w:t>
      </w:r>
      <w:r w:rsidR="00487134" w:rsidRPr="00487134">
        <w:t>GA selectively induced cytotoxicity in HT-29 and HCT-116 colorectal cancer cells, while exhibiting no toxic effects on MRC-5 healthy fibroblasts at the same concentrations. Significant upregulation of GPX4 and GSTA2 was observed in both cancer cell lines, while NFKB expression increased only in HT-29 cells. No significant changes were detected in CAT and SOD1. Moreover, Fe²⁺, Zn²⁺, and Mn²⁺ levels were significantly elevated following GA treatment, indicating potential modulation of redox status through ionic mechanisms</w:t>
      </w:r>
      <w:r w:rsidR="000F61D2" w:rsidRPr="003D585B">
        <w:t xml:space="preserve">; (4) Conclusions: </w:t>
      </w:r>
      <w:r w:rsidR="00487134" w:rsidRPr="00487134">
        <w:t>These findings suggest that GA selectively targets CRC cells and may regulate oxidative stress through both genetic and ionic pathways. GA could represent a novel, natural therapeutic candidate for redox-based intervention in colorectal cancer.</w:t>
      </w:r>
    </w:p>
    <w:p w14:paraId="7052A669" w14:textId="262049B2" w:rsidR="00F10E2D" w:rsidRPr="003D585B" w:rsidRDefault="00F10E2D" w:rsidP="00487134">
      <w:pPr>
        <w:pStyle w:val="MDPI17abstract"/>
        <w:spacing w:before="0" w:after="0"/>
      </w:pPr>
    </w:p>
    <w:p w14:paraId="2DC6F239" w14:textId="4F69656A" w:rsidR="00F10E2D" w:rsidRPr="003D585B" w:rsidRDefault="00F10E2D" w:rsidP="004F6FC3">
      <w:pPr>
        <w:pStyle w:val="MDPI18keywords"/>
        <w:rPr>
          <w:szCs w:val="18"/>
        </w:rPr>
      </w:pPr>
      <w:r w:rsidRPr="003D585B">
        <w:rPr>
          <w:b/>
          <w:szCs w:val="18"/>
        </w:rPr>
        <w:t xml:space="preserve">Keywords: </w:t>
      </w:r>
      <w:r w:rsidR="00487134">
        <w:rPr>
          <w:szCs w:val="18"/>
        </w:rPr>
        <w:t>Colectral cancer</w:t>
      </w:r>
      <w:r w:rsidRPr="003D585B">
        <w:rPr>
          <w:szCs w:val="18"/>
        </w:rPr>
        <w:t xml:space="preserve">; </w:t>
      </w:r>
      <w:r w:rsidR="00487134">
        <w:rPr>
          <w:szCs w:val="18"/>
        </w:rPr>
        <w:t>Gum Arabic</w:t>
      </w:r>
      <w:r w:rsidRPr="003D585B">
        <w:rPr>
          <w:szCs w:val="18"/>
        </w:rPr>
        <w:t xml:space="preserve">; </w:t>
      </w:r>
      <w:r w:rsidR="00487134">
        <w:rPr>
          <w:szCs w:val="18"/>
        </w:rPr>
        <w:t>Oxidative Stress</w:t>
      </w:r>
      <w:r w:rsidRPr="003D585B">
        <w:rPr>
          <w:szCs w:val="18"/>
        </w:rPr>
        <w:t xml:space="preserve"> (List three to ten pertinent keywords </w:t>
      </w:r>
      <w:r w:rsidR="00042D42" w:rsidRPr="003D585B">
        <w:rPr>
          <w:szCs w:val="18"/>
        </w:rPr>
        <w:t xml:space="preserve">specific to the article yet </w:t>
      </w:r>
      <w:r w:rsidRPr="003D585B">
        <w:rPr>
          <w:szCs w:val="18"/>
        </w:rPr>
        <w:t>reasonably common within the subject discipline.)</w:t>
      </w:r>
    </w:p>
    <w:p w14:paraId="444733B9" w14:textId="77777777" w:rsidR="00F10E2D" w:rsidRPr="003D585B" w:rsidRDefault="00F10E2D" w:rsidP="004F6FC3">
      <w:pPr>
        <w:pStyle w:val="MDPI19line"/>
      </w:pPr>
    </w:p>
    <w:p w14:paraId="119AFBD2" w14:textId="0C738F72" w:rsidR="00F10E2D" w:rsidRDefault="00F10E2D" w:rsidP="00487134">
      <w:pPr>
        <w:pStyle w:val="MDPI21heading1"/>
        <w:ind w:left="0"/>
      </w:pPr>
    </w:p>
    <w:p w14:paraId="4852B6B8" w14:textId="183C7404" w:rsidR="00487134" w:rsidRDefault="00487134" w:rsidP="00487134">
      <w:pPr>
        <w:pStyle w:val="MDPI21heading1"/>
        <w:ind w:left="0"/>
      </w:pPr>
    </w:p>
    <w:p w14:paraId="623B7905" w14:textId="77777777" w:rsidR="00487134" w:rsidRPr="003D585B" w:rsidRDefault="00487134" w:rsidP="00487134">
      <w:pPr>
        <w:pStyle w:val="MDPI21heading1"/>
        <w:ind w:left="0"/>
      </w:pPr>
    </w:p>
    <w:p w14:paraId="01BB74C5" w14:textId="77777777" w:rsidR="00F10E2D" w:rsidRPr="003D585B" w:rsidRDefault="00F10E2D" w:rsidP="004F6FC3">
      <w:pPr>
        <w:pStyle w:val="MDPI21heading1"/>
      </w:pPr>
      <w:r w:rsidRPr="003D585B">
        <w:lastRenderedPageBreak/>
        <w:t>1. Introduction</w:t>
      </w:r>
    </w:p>
    <w:p w14:paraId="6233603E" w14:textId="77777777" w:rsidR="00F01D5E" w:rsidRPr="00F01D5E" w:rsidRDefault="00F01D5E" w:rsidP="00F01D5E">
      <w:pPr>
        <w:pStyle w:val="MDPI31text"/>
      </w:pPr>
      <w:r w:rsidRPr="00F01D5E">
        <w:t>Colorectal cancer (CRC) is one of the most commonly diagnosed malignancies worldwide and ranks as the second leading cause of cancer-related mortality [1]. According to the Global Cancer Statistics 2022 report, over 1.9 million new CRC cases and nearly one million deaths were reported globally [2]. These figures underscore the significant impact of CRC on public health and the urgent need for more effective, safe, and specific therapeutic strategies. Despite notable advances in surgery, chemotherapy, and targeted agents, treatment outcomes remain limited due to tumor heterogeneity, non-specific cytotoxicity to healthy tissues, and the emergence of drug resistance [3,4]. Molecularly, CRC is characterized by chromosomal instability (CIN), microsatellite instability (MSI), and epigenetic modifications such as the CpG island methylator phenotype (CIMP), all of which contribute to variability in therapeutic response [5].</w:t>
      </w:r>
    </w:p>
    <w:p w14:paraId="68000B2E" w14:textId="77777777" w:rsidR="00F01D5E" w:rsidRPr="00F01D5E" w:rsidRDefault="00F01D5E" w:rsidP="00F01D5E">
      <w:pPr>
        <w:pStyle w:val="MDPI31text"/>
      </w:pPr>
      <w:r w:rsidRPr="00F01D5E">
        <w:t>Standard chemotherapeutics including 5-fluorouracil, irinotecan, and oxaliplatin, although widely used, are often associated with dose-limiting toxicities and off-target effects, which can significantly impair patients’ quality of life [6]. Additionally, mutations in genes like KRAS and BRAF contribute to drug resistance, making treatment outcomes less predictable and reinforcing the need for novel, more selective therapeutic options [6].</w:t>
      </w:r>
    </w:p>
    <w:p w14:paraId="64B9C9B0" w14:textId="0544BB41" w:rsidR="00F01D5E" w:rsidRPr="00F01D5E" w:rsidRDefault="00F01D5E" w:rsidP="00F01D5E">
      <w:pPr>
        <w:pStyle w:val="MDPI31text"/>
      </w:pPr>
      <w:r w:rsidRPr="00F01D5E">
        <w:t>As a result, attention has increasingly shifted towards bioactive compounds derived from natural sources, particularly those with known antioxidant, anti-inflammatory, and anticancer properties [7,8,9]. Natural substances often act through multi-targeted pathways and present fewer side effects compared to conventional agents, thus making them promising candidates for integrative oncology approaches [10]. Among these, plant-derived polysaccharides have emerged as significant due to their capacity to modulate oxidative stress, immunity, and cellular metabolism [11,12].</w:t>
      </w:r>
      <w:r w:rsidRPr="00F01D5E">
        <w:br/>
        <w:t xml:space="preserve">Gum Arabic (GA) is a natural, gummy exudate predominantly obtained from the umbrella-shaped branches of </w:t>
      </w:r>
      <w:r w:rsidRPr="00F01D5E">
        <w:rPr>
          <w:i/>
          <w:iCs/>
        </w:rPr>
        <w:t>Acacia senegal</w:t>
      </w:r>
      <w:r w:rsidRPr="00F01D5E">
        <w:t xml:space="preserve"> and </w:t>
      </w:r>
      <w:r w:rsidRPr="00F01D5E">
        <w:rPr>
          <w:i/>
          <w:iCs/>
        </w:rPr>
        <w:t>Acacia seyal</w:t>
      </w:r>
      <w:r w:rsidRPr="00F01D5E">
        <w:t>, primarily cultivated in Sudan, Chad, and Nigeria [13,14]. Structurally, GA consists mainly of an arabinogalactan-protein complex and serves as a rich source of dietary fiber enriched with essential minerals such as calcium (Ca²⁺), magnesium (Mg²⁺), and potassium (K⁺) [15,16]. This distinctive biochemical composition not only supports its conventional use as a stabilizing agent in the food industry but also underpins its emerging pharmacological importance due to a wide array of bio-functional properties.</w:t>
      </w:r>
      <w:r w:rsidRPr="00F01D5E">
        <w:rPr>
          <w:lang w:val="tr-TR"/>
        </w:rPr>
        <w:t xml:space="preserve"> </w:t>
      </w:r>
      <w:r w:rsidRPr="00F01D5E">
        <w:t>Notably, GA has gained increasing recognition for its antioxidant, anti-inflammatory, gut-supportive, and anticancer properties, making it a promising candidate for various therapeutic applications, particularly in cancer management [17,18,19,20,21].</w:t>
      </w:r>
      <w:r w:rsidRPr="00F01D5E">
        <w:rPr>
          <w:lang w:val="tr-TR"/>
        </w:rPr>
        <w:t xml:space="preserve"> </w:t>
      </w:r>
      <w:r w:rsidRPr="00F01D5E">
        <w:t>Recent findings also suggest that GA may modulate redox signaling and oxidative stress responses—mechanisms intricately linked to colorectal tumorigenesis [17]. However, despite these promising observations, there is still a lack of comprehensive molecular-level investigations assessing the selectivity and mechanistic pathways of GA in colorectal cancer models.</w:t>
      </w:r>
    </w:p>
    <w:p w14:paraId="467B46F2" w14:textId="77777777" w:rsidR="00F01D5E" w:rsidRPr="00F01D5E" w:rsidRDefault="00F01D5E" w:rsidP="00F01D5E">
      <w:pPr>
        <w:pStyle w:val="MDPI31text"/>
      </w:pPr>
      <w:bookmarkStart w:id="1" w:name="_Hlk204628896"/>
      <w:r w:rsidRPr="00F01D5E">
        <w:t>This study investigates the anticancer potential of Gum Arabic in two CRC cell lines (HT-29 and HCT-116) compared to healthy human fibroblasts (MRC-5). The cytotoxic effects were evaluated via MTS assay, and gene expression analyses were conducted to assess antioxidant response. In addition, changes in extracellular metal ion concentrations were measured to explore GA’s possible involvement in redox regulation through ionic pathways. By integrating these assessments, this study aims to provide novel insights into the selective action of GA in cancer cells and its potential application as a natural therapeutic agent in CRC.</w:t>
      </w:r>
      <w:r w:rsidRPr="00F01D5E">
        <w:br/>
      </w:r>
      <w:bookmarkEnd w:id="1"/>
    </w:p>
    <w:p w14:paraId="6EB12135" w14:textId="77777777" w:rsidR="00487134" w:rsidRPr="00487134" w:rsidRDefault="00487134" w:rsidP="00487134">
      <w:pPr>
        <w:pStyle w:val="MDPI31text"/>
      </w:pPr>
    </w:p>
    <w:p w14:paraId="1C53E35F" w14:textId="77777777" w:rsidR="00487134" w:rsidRPr="00487134" w:rsidRDefault="00487134" w:rsidP="00487134">
      <w:pPr>
        <w:pStyle w:val="MDPI31text"/>
      </w:pPr>
    </w:p>
    <w:p w14:paraId="099F0CD5" w14:textId="59466364" w:rsidR="00790863" w:rsidRPr="00487134" w:rsidRDefault="00790863" w:rsidP="00487134">
      <w:pPr>
        <w:pStyle w:val="MDPI31text"/>
      </w:pPr>
    </w:p>
    <w:p w14:paraId="144C5B91" w14:textId="533F4936" w:rsidR="00487134" w:rsidRDefault="00F10E2D" w:rsidP="00487134">
      <w:pPr>
        <w:pStyle w:val="MDPI21heading1"/>
      </w:pPr>
      <w:r w:rsidRPr="003D585B">
        <w:rPr>
          <w:lang w:eastAsia="zh-CN"/>
        </w:rPr>
        <w:lastRenderedPageBreak/>
        <w:t xml:space="preserve">2. </w:t>
      </w:r>
      <w:r w:rsidRPr="003D585B">
        <w:t>Materials and Methods</w:t>
      </w:r>
    </w:p>
    <w:p w14:paraId="618AB5A9" w14:textId="77777777" w:rsidR="00487134" w:rsidRPr="00487134" w:rsidRDefault="00487134" w:rsidP="00487134">
      <w:pPr>
        <w:pStyle w:val="MDPI31text"/>
        <w:rPr>
          <w:b/>
          <w:bCs/>
        </w:rPr>
      </w:pPr>
      <w:r w:rsidRPr="00487134">
        <w:rPr>
          <w:b/>
          <w:bCs/>
        </w:rPr>
        <w:t>2.1. Cell Lines and Cell Culture Conditions</w:t>
      </w:r>
    </w:p>
    <w:p w14:paraId="143C9570" w14:textId="77777777" w:rsidR="00F01D5E" w:rsidRPr="00F01D5E" w:rsidRDefault="00F01D5E" w:rsidP="00F01D5E">
      <w:pPr>
        <w:pStyle w:val="MDPI31text"/>
      </w:pPr>
      <w:r w:rsidRPr="00F01D5E">
        <w:t>Human colorectal adenocarcinoma cell lines, HT-29 (HTB-38) and HCT-116 (CRL-247), along with the normal human lung fibroblast cell line MRC-5 (CRL-171), were obtained from the American Type Culture Collection (ATCC, Rockville, MD, USA). HT-29 cells were maintained in Roswell Park Memorial Institute medium (RPMI-1640, #11875093, Gibco), whereas HCT-116 and MRC-5 cells were cultured in Dulbecco’s Modified Eagle Medium (DMEM, #41966-029, Gibco). All culture media were supplemented with 10% fetal bovine serum (FBS, #10500-064, Gibco) and 1% Penicillin-Streptomycin-Amphotericin (PSA, Gibco). Cells were incubated at 37</w:t>
      </w:r>
      <w:r w:rsidRPr="00F01D5E">
        <w:rPr>
          <w:rFonts w:ascii="Times New Roman" w:hAnsi="Times New Roman"/>
        </w:rPr>
        <w:t> </w:t>
      </w:r>
      <w:r w:rsidRPr="00F01D5E">
        <w:rPr>
          <w:rFonts w:cs="Palatino Linotype"/>
        </w:rPr>
        <w:t>°</w:t>
      </w:r>
      <w:r w:rsidRPr="00F01D5E">
        <w:t>C in a humidified atmosphere containing 5% CO</w:t>
      </w:r>
      <w:r w:rsidRPr="00F01D5E">
        <w:rPr>
          <w:rFonts w:cs="Palatino Linotype"/>
        </w:rPr>
        <w:t>₂</w:t>
      </w:r>
      <w:r w:rsidRPr="00F01D5E">
        <w:t>.</w:t>
      </w:r>
    </w:p>
    <w:p w14:paraId="2E6FBFD6" w14:textId="77777777" w:rsidR="00487134" w:rsidRPr="00487134" w:rsidRDefault="00487134" w:rsidP="00487134">
      <w:pPr>
        <w:pStyle w:val="MDPI31text"/>
        <w:rPr>
          <w:b/>
          <w:bCs/>
          <w:lang w:val="tr-TR"/>
        </w:rPr>
      </w:pPr>
      <w:r w:rsidRPr="00487134">
        <w:rPr>
          <w:b/>
          <w:bCs/>
          <w:lang w:val="tr-TR"/>
        </w:rPr>
        <w:t>2.1 Cell Viability Assay</w:t>
      </w:r>
    </w:p>
    <w:p w14:paraId="3A862F28" w14:textId="77777777" w:rsidR="00F01D5E" w:rsidRPr="00F01D5E" w:rsidRDefault="00F01D5E" w:rsidP="00F01D5E">
      <w:pPr>
        <w:pStyle w:val="MDPI31text"/>
      </w:pPr>
      <w:r w:rsidRPr="00F01D5E">
        <w:t>The cytotoxic effect of Acacia gum (purchased from Nexira) was evaluated using the MTS assay [3-(4,5-dimethylthiazol-2-yl)-5-(3-carboxymethoxyphenyl)-2-(4-sulfophenyl)-2H-tetrazolium salt] (#G3582, CellTiter 96® AQueous One Solution, Promega, Southampton, UK), following the manufacturer’s protocol. HCT-116, HT-29, and MRC-5 cells were seeded at a density of 5,000 cells per well in 96-well flat-bottom plates and incubated for 24 hours at 37</w:t>
      </w:r>
      <w:r w:rsidRPr="00F01D5E">
        <w:rPr>
          <w:rFonts w:ascii="Times New Roman" w:hAnsi="Times New Roman"/>
        </w:rPr>
        <w:t> </w:t>
      </w:r>
      <w:r w:rsidRPr="00F01D5E">
        <w:rPr>
          <w:rFonts w:cs="Palatino Linotype"/>
        </w:rPr>
        <w:t>°</w:t>
      </w:r>
      <w:r w:rsidRPr="00F01D5E">
        <w:t>C in a humidified incubator with 5% CO</w:t>
      </w:r>
      <w:r w:rsidRPr="00F01D5E">
        <w:rPr>
          <w:rFonts w:cs="Palatino Linotype"/>
        </w:rPr>
        <w:t>₂</w:t>
      </w:r>
      <w:r w:rsidRPr="00F01D5E">
        <w:t>.</w:t>
      </w:r>
    </w:p>
    <w:p w14:paraId="48CBDFC2" w14:textId="77777777" w:rsidR="00F01D5E" w:rsidRPr="00F01D5E" w:rsidRDefault="00F01D5E" w:rsidP="00F01D5E">
      <w:pPr>
        <w:pStyle w:val="MDPI31text"/>
      </w:pPr>
      <w:r w:rsidRPr="00F01D5E">
        <w:t>After initial attachment, cells were treated with Acacia gum at six different concentrations, ranging from 3000</w:t>
      </w:r>
      <w:r w:rsidRPr="00F01D5E">
        <w:rPr>
          <w:rFonts w:ascii="Times New Roman" w:hAnsi="Times New Roman"/>
        </w:rPr>
        <w:t> </w:t>
      </w:r>
      <w:r w:rsidRPr="00F01D5E">
        <w:rPr>
          <w:rFonts w:cs="Palatino Linotype"/>
        </w:rPr>
        <w:t>µ</w:t>
      </w:r>
      <w:r w:rsidRPr="00F01D5E">
        <w:t>g/mL to 93.75</w:t>
      </w:r>
      <w:r w:rsidRPr="00F01D5E">
        <w:rPr>
          <w:rFonts w:ascii="Times New Roman" w:hAnsi="Times New Roman"/>
        </w:rPr>
        <w:t> </w:t>
      </w:r>
      <w:r w:rsidRPr="00F01D5E">
        <w:rPr>
          <w:rFonts w:cs="Palatino Linotype"/>
        </w:rPr>
        <w:t>µ</w:t>
      </w:r>
      <w:r w:rsidRPr="00F01D5E">
        <w:t>g/mL, and further incubated for 24, 48, and 72 hours. At the end of each time point, the culture medium was carefully aspirated and replaced with an MTS solution (prepared in PBS containing 10% MTS reagent and 4.5</w:t>
      </w:r>
      <w:r w:rsidRPr="00F01D5E">
        <w:rPr>
          <w:rFonts w:ascii="Times New Roman" w:hAnsi="Times New Roman"/>
        </w:rPr>
        <w:t> </w:t>
      </w:r>
      <w:r w:rsidRPr="00F01D5E">
        <w:t>g/L D-glucose). Following a 90-minute incubation at 37</w:t>
      </w:r>
      <w:r w:rsidRPr="00F01D5E">
        <w:rPr>
          <w:rFonts w:ascii="Times New Roman" w:hAnsi="Times New Roman"/>
        </w:rPr>
        <w:t> </w:t>
      </w:r>
      <w:r w:rsidRPr="00F01D5E">
        <w:rPr>
          <w:rFonts w:cs="Palatino Linotype"/>
        </w:rPr>
        <w:t>°</w:t>
      </w:r>
      <w:r w:rsidRPr="00F01D5E">
        <w:t>C, absorbance was measured at 490</w:t>
      </w:r>
      <w:r w:rsidRPr="00F01D5E">
        <w:rPr>
          <w:rFonts w:ascii="Times New Roman" w:hAnsi="Times New Roman"/>
        </w:rPr>
        <w:t> </w:t>
      </w:r>
      <w:r w:rsidRPr="00F01D5E">
        <w:t xml:space="preserve">nm using an ELISA microplate reader (BioTek, Winooski, VT, USA). Cell viability was calculated as a percentage relative to the untreated control group for each cell line (HCT-116, HT-29, and MRC-5). </w:t>
      </w:r>
    </w:p>
    <w:p w14:paraId="1A86EDC8" w14:textId="77777777" w:rsidR="00487134" w:rsidRPr="00487134" w:rsidRDefault="00487134" w:rsidP="00487134">
      <w:pPr>
        <w:pStyle w:val="MDPI31text"/>
        <w:rPr>
          <w:i/>
        </w:rPr>
      </w:pPr>
      <w:r w:rsidRPr="00487134">
        <w:rPr>
          <w:b/>
          <w:bCs/>
          <w:lang w:val="tr-TR"/>
        </w:rPr>
        <w:t>2.3.</w:t>
      </w:r>
      <w:r w:rsidRPr="00487134">
        <w:rPr>
          <w:b/>
          <w:bCs/>
          <w:lang w:val="tr-TR"/>
        </w:rPr>
        <w:tab/>
        <w:t>Real-Time PCR</w:t>
      </w:r>
    </w:p>
    <w:p w14:paraId="455CC20F" w14:textId="77777777" w:rsidR="00487134" w:rsidRPr="00487134" w:rsidRDefault="00487134" w:rsidP="00487134">
      <w:pPr>
        <w:pStyle w:val="MDPI31text"/>
        <w:rPr>
          <w:lang w:val="tr-TR"/>
        </w:rPr>
      </w:pPr>
      <w:r w:rsidRPr="00487134">
        <w:t>Total RNA was isolated by using an RNA isolation kit (#740955.250, Macherey-NAGEL, Düren, Germany) according to the manufacturer’s instructions. RNA concentrations were determined by absorbance at 260 nm using a spectrophotometer. After that, cDNA was synthesized using QuantiTect Reverse Transcription Kit (#205313, QIAGEN, Hilden, Germany) according to the manufacturer’s protocols. RT-PCR was performed using SYBR Green (#4309155, Thermo Fisher, Waltham, ABD) and assayed in triplicate using the iCycler RT-PCR detection system (Bio-Rad, Hercules, CA, USA). The expression levels were normalized with respect to RPL30 (Ribosomal Protein L30) gene (F: 5’-ACAGCATGCGGAAAATACTAC-3’ R: 5’-AAAGGAAAATTTTGCAGGTTT-3’) levels. Genes and their corresponding primer sequences</w:t>
      </w:r>
      <w:r w:rsidRPr="00487134">
        <w:rPr>
          <w:rFonts w:hint="eastAsia"/>
        </w:rPr>
        <w:t xml:space="preserve"> used in this study </w:t>
      </w:r>
      <w:r w:rsidRPr="00487134">
        <w:t xml:space="preserve">were </w:t>
      </w:r>
      <w:r w:rsidRPr="00487134">
        <w:rPr>
          <w:rFonts w:hint="eastAsia"/>
        </w:rPr>
        <w:t>as follows;</w:t>
      </w:r>
      <w:r w:rsidRPr="00487134">
        <w:t xml:space="preserve"> SOD1 gene (F:5’- </w:t>
      </w:r>
      <w:r w:rsidRPr="00487134">
        <w:rPr>
          <w:lang w:val="tr-TR"/>
        </w:rPr>
        <w:t xml:space="preserve">GGCCTAGCGAGTTATGGCGA-3’ </w:t>
      </w:r>
      <w:r w:rsidRPr="00487134">
        <w:t>R: 5’-</w:t>
      </w:r>
      <w:r w:rsidRPr="00487134">
        <w:rPr>
          <w:lang w:val="tr-TR"/>
        </w:rPr>
        <w:t xml:space="preserve"> CCCAAGTCTCCAACATGCCTCT</w:t>
      </w:r>
      <w:r w:rsidRPr="00487134">
        <w:t>-3’), GPX4 gene (F:5’-</w:t>
      </w:r>
      <w:r w:rsidRPr="00487134">
        <w:rPr>
          <w:lang w:val="tr-TR"/>
        </w:rPr>
        <w:t xml:space="preserve">AAGTGGAACTTCACCAAGTTTGGAC-3’ </w:t>
      </w:r>
      <w:r w:rsidRPr="00487134">
        <w:t>R: 5’-</w:t>
      </w:r>
      <w:r w:rsidRPr="00487134">
        <w:rPr>
          <w:lang w:val="tr-TR"/>
        </w:rPr>
        <w:t xml:space="preserve"> GATTTTCGGGTCTGCCCCAC</w:t>
      </w:r>
      <w:r w:rsidRPr="00487134">
        <w:t>-3’), GSTA2 gene (F:5’-</w:t>
      </w:r>
      <w:r w:rsidRPr="00487134">
        <w:rPr>
          <w:lang w:val="tr-TR"/>
        </w:rPr>
        <w:t>AGACATAAAGGAGAGAGCCCTGATT</w:t>
      </w:r>
      <w:r w:rsidRPr="00487134">
        <w:t>-3’ R: 5’-</w:t>
      </w:r>
      <w:r w:rsidRPr="00487134">
        <w:rPr>
          <w:lang w:val="tr-TR"/>
        </w:rPr>
        <w:t xml:space="preserve">  TCACCTTCAGCAGAGGGAAGC</w:t>
      </w:r>
      <w:r w:rsidRPr="00487134">
        <w:t>-3’),</w:t>
      </w:r>
      <w:r w:rsidRPr="00487134">
        <w:rPr>
          <w:lang w:val="tr-TR"/>
        </w:rPr>
        <w:t xml:space="preserve"> </w:t>
      </w:r>
      <w:r w:rsidRPr="00487134">
        <w:t>CAT gene (F: 5’-</w:t>
      </w:r>
      <w:r w:rsidRPr="00487134">
        <w:rPr>
          <w:lang w:val="tr-TR"/>
        </w:rPr>
        <w:t xml:space="preserve"> CATGCAGGACAATCAGGGTGG</w:t>
      </w:r>
      <w:r w:rsidRPr="00487134">
        <w:t>-3’ R: 5’-</w:t>
      </w:r>
      <w:r w:rsidRPr="00487134">
        <w:rPr>
          <w:lang w:val="tr-TR"/>
        </w:rPr>
        <w:t xml:space="preserve"> CTCCCGTAGTCAGGGTGGAC</w:t>
      </w:r>
      <w:r w:rsidRPr="00487134">
        <w:t>-3’), NFKB1 gene (F: 5’-</w:t>
      </w:r>
      <w:r w:rsidRPr="00487134">
        <w:rPr>
          <w:lang w:val="tr-TR"/>
        </w:rPr>
        <w:t>CCGCTTAGGAGGGAGAGCC</w:t>
      </w:r>
      <w:r w:rsidRPr="00487134">
        <w:t>-3’ R: 5’-</w:t>
      </w:r>
      <w:r w:rsidRPr="00487134">
        <w:rPr>
          <w:lang w:val="tr-TR"/>
        </w:rPr>
        <w:t xml:space="preserve"> AAGGTATGGGCCATCTGCTGT</w:t>
      </w:r>
      <w:r w:rsidRPr="00487134">
        <w:t>-3’).</w:t>
      </w:r>
    </w:p>
    <w:p w14:paraId="128DA054" w14:textId="77777777" w:rsidR="00487134" w:rsidRPr="00487134" w:rsidRDefault="00487134" w:rsidP="00487134">
      <w:pPr>
        <w:pStyle w:val="MDPI31text"/>
        <w:rPr>
          <w:b/>
          <w:bCs/>
        </w:rPr>
      </w:pPr>
      <w:r w:rsidRPr="00487134">
        <w:rPr>
          <w:b/>
          <w:bCs/>
        </w:rPr>
        <w:t>2.3 Trace Element Analysis in Culture Medium</w:t>
      </w:r>
    </w:p>
    <w:p w14:paraId="5E4C790D" w14:textId="77777777" w:rsidR="00487134" w:rsidRPr="00487134" w:rsidRDefault="00487134" w:rsidP="00487134">
      <w:pPr>
        <w:pStyle w:val="MDPI31text"/>
      </w:pPr>
      <w:r w:rsidRPr="00487134">
        <w:t xml:space="preserve">The elemental concentrations of Al²⁷, Mg²⁴, Mg²⁵, K³⁹, K⁴¹, Ca⁴³, Ca⁴⁴, Mn⁵⁵, Zn⁵⁵, and Zn⁶⁷ in the cell culture media were measured using an inductively coupled plasma mass spectrometry (ICP-MS, iCAP RQ, Thermo Scientific, USA). For sample preparation, 100 µL of culture supernatant was collected and diluted with ultrapure water to a final volume of 5 mL in acid-cleaned polypropylene tubes. The instrument was operated under optimized conditions with a nebulizer gas flow of 1.14 L/min, coolant gas flow of 14 L/min, auxiliary gas flow of 0.8 L/min, and a plasma power of 1051 W. Calibration was performed </w:t>
      </w:r>
      <w:r w:rsidRPr="00487134">
        <w:lastRenderedPageBreak/>
        <w:t>using certified standard solutions (Sigma Aldrich, Cat. No: 1.11355.0100) in multiple concentrations to ensure accurate quantification.</w:t>
      </w:r>
    </w:p>
    <w:p w14:paraId="08A7FDB0" w14:textId="77777777" w:rsidR="00487134" w:rsidRPr="003D585B" w:rsidRDefault="00487134" w:rsidP="00F01D5E">
      <w:pPr>
        <w:pStyle w:val="MDPI31text"/>
        <w:ind w:left="0" w:firstLine="0"/>
      </w:pPr>
    </w:p>
    <w:p w14:paraId="3C25F1D0" w14:textId="77777777" w:rsidR="00F10E2D" w:rsidRPr="003D585B" w:rsidRDefault="00F10E2D" w:rsidP="004F6FC3">
      <w:pPr>
        <w:pStyle w:val="MDPI21heading1"/>
      </w:pPr>
      <w:r w:rsidRPr="003D585B">
        <w:t>3. Results</w:t>
      </w:r>
    </w:p>
    <w:p w14:paraId="39835E19" w14:textId="74C36C16" w:rsidR="00487134" w:rsidRDefault="00487134" w:rsidP="00E73334">
      <w:pPr>
        <w:pStyle w:val="MDPI31text"/>
        <w:ind w:left="0" w:firstLine="0"/>
      </w:pPr>
    </w:p>
    <w:p w14:paraId="3FA25599" w14:textId="77777777" w:rsidR="00487134" w:rsidRPr="00487134" w:rsidRDefault="00487134" w:rsidP="00487134">
      <w:pPr>
        <w:pStyle w:val="MDPI31text"/>
      </w:pPr>
      <w:r w:rsidRPr="00487134">
        <w:t>The cytotoxic effect of Gum Arabic (GA) was evaluated in colorectal cancer and normal cell lines using the MTS assay. HCT-116 and HT-29 colorectal cancer cell lines, along with the MRC-5 normal human lung fibroblast line, were exposed to a range of GA concentrations (2.5% to 50% w/v) for 72 hours. GA treatment induced a dose-dependent reduction in cell viability in both cancer cell lines. Notably, HT-29 cells showed a more pronounced sensitivity to GA compared to HCT-116, as demonstrated by a sharper decline in viability at lower concentrations (Figure 3.1a, 3.1b).</w:t>
      </w:r>
    </w:p>
    <w:p w14:paraId="51BAA56C" w14:textId="77777777" w:rsidR="00487134" w:rsidRPr="00487134" w:rsidRDefault="00487134" w:rsidP="00487134">
      <w:pPr>
        <w:pStyle w:val="MDPI31text"/>
      </w:pPr>
      <w:r w:rsidRPr="00487134">
        <w:t>In contrast, MRC-5 normal fibroblast cells retained relatively higher survival rates, particularly at concentrations below 10%, indicating a potential selective cytotoxic effect of GA favoring malignant cells over non-malignant ones (Figure 3.1c). The half-maximal inhibitory concentrations (IC₅₀) were estimated based on cell viability curves and are summarized in Table 1. The IC₅₀ for HCT-116 cells was calculated to be approximately 10%, while that of HT-29 cells ranged between 5% and 10%, confirming their higher susceptibility. For MRC-5 cells, the IC₅₀ value was broader, between 10% and 20%, further suggesting reduced toxicity in normal cells.</w:t>
      </w:r>
    </w:p>
    <w:p w14:paraId="00690E15" w14:textId="77777777" w:rsidR="00487134" w:rsidRPr="00487134" w:rsidRDefault="00487134" w:rsidP="00487134">
      <w:pPr>
        <w:pStyle w:val="MDPI31text"/>
      </w:pPr>
      <w:r w:rsidRPr="00487134">
        <w:t>These findings support the hypothesis that Gum Arabic may exhibit selective anticancer activity, warranting further investigation into its molecular mechanism and potential therapeutic application.</w:t>
      </w:r>
    </w:p>
    <w:p w14:paraId="594DFA0B" w14:textId="77777777" w:rsidR="00487134" w:rsidRPr="00487134" w:rsidRDefault="00487134" w:rsidP="00487134">
      <w:pPr>
        <w:pStyle w:val="MDPI31text"/>
        <w:rPr>
          <w:b/>
          <w:bCs/>
        </w:rPr>
      </w:pPr>
    </w:p>
    <w:p w14:paraId="3385EDA3" w14:textId="55477A3A" w:rsidR="00487134" w:rsidRPr="00487134" w:rsidRDefault="003E6FB2" w:rsidP="00487134">
      <w:pPr>
        <w:pStyle w:val="MDPI31text"/>
        <w:rPr>
          <w:b/>
          <w:bCs/>
        </w:rPr>
      </w:pPr>
      <w:r>
        <w:rPr>
          <w:b/>
          <w:bCs/>
        </w:rPr>
        <w:t xml:space="preserve">                  </w:t>
      </w:r>
      <w:r w:rsidRPr="003E6FB2">
        <w:rPr>
          <w:b/>
          <w:bCs/>
        </w:rPr>
        <w:t>(a)</w:t>
      </w:r>
      <w:r>
        <w:rPr>
          <w:b/>
          <w:bCs/>
        </w:rPr>
        <w:t xml:space="preserve">                               </w:t>
      </w:r>
      <w:r w:rsidRPr="003E6FB2">
        <w:rPr>
          <w:b/>
          <w:bCs/>
        </w:rPr>
        <w:t>(</w:t>
      </w:r>
      <w:r>
        <w:rPr>
          <w:b/>
          <w:bCs/>
        </w:rPr>
        <w:t>b</w:t>
      </w:r>
      <w:r w:rsidRPr="003E6FB2">
        <w:rPr>
          <w:b/>
          <w:bCs/>
        </w:rPr>
        <w:t>)</w:t>
      </w:r>
    </w:p>
    <w:p w14:paraId="33FA49BA" w14:textId="0916BD09" w:rsidR="00487134" w:rsidRPr="00487134" w:rsidRDefault="00DE00EA" w:rsidP="00DE00EA">
      <w:pPr>
        <w:pStyle w:val="MDPI31text"/>
        <w:jc w:val="center"/>
        <w:rPr>
          <w:b/>
          <w:bCs/>
        </w:rPr>
      </w:pPr>
      <w:r w:rsidRPr="00DE00EA">
        <w:rPr>
          <w:b/>
          <w:bCs/>
          <w:lang w:val="tr-TR"/>
        </w:rPr>
        <w:object w:dxaOrig="10750" w:dyaOrig="7101" w14:anchorId="2036C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199.5pt" o:ole="">
            <v:imagedata r:id="rId7" o:title=""/>
          </v:shape>
          <o:OLEObject Type="Embed" ProgID="Prism8.Document" ShapeID="_x0000_i1025" DrawAspect="Content" ObjectID="_1837081442" r:id="rId8"/>
        </w:object>
      </w:r>
    </w:p>
    <w:p w14:paraId="23EB314D" w14:textId="7160F1F5" w:rsidR="00487134" w:rsidRPr="00487134" w:rsidRDefault="003E6FB2" w:rsidP="00487134">
      <w:pPr>
        <w:pStyle w:val="MDPI31text"/>
        <w:rPr>
          <w:b/>
          <w:bCs/>
        </w:rPr>
      </w:pPr>
      <w:r>
        <w:rPr>
          <w:b/>
          <w:bCs/>
        </w:rPr>
        <w:t xml:space="preserve">                                        </w:t>
      </w:r>
      <w:r w:rsidRPr="003E6FB2">
        <w:rPr>
          <w:b/>
          <w:bCs/>
        </w:rPr>
        <w:t>(</w:t>
      </w:r>
      <w:r>
        <w:rPr>
          <w:b/>
          <w:bCs/>
        </w:rPr>
        <w:t>c</w:t>
      </w:r>
      <w:r w:rsidRPr="003E6FB2">
        <w:rPr>
          <w:b/>
          <w:bCs/>
        </w:rPr>
        <w:t>)</w:t>
      </w:r>
    </w:p>
    <w:p w14:paraId="10CF0A74" w14:textId="0A03F374" w:rsidR="00487134" w:rsidRPr="00487134" w:rsidRDefault="00487134" w:rsidP="00487134">
      <w:pPr>
        <w:pStyle w:val="MDPI31text"/>
        <w:rPr>
          <w:b/>
          <w:bCs/>
        </w:rPr>
      </w:pPr>
      <w:r w:rsidRPr="00487134">
        <w:rPr>
          <w:b/>
          <w:bCs/>
        </w:rPr>
        <w:t xml:space="preserve"> </w:t>
      </w:r>
    </w:p>
    <w:p w14:paraId="71D0AF72" w14:textId="77777777" w:rsidR="00487134" w:rsidRPr="003016B1" w:rsidRDefault="00487134" w:rsidP="00487134">
      <w:pPr>
        <w:pStyle w:val="MDPI31text"/>
        <w:jc w:val="center"/>
      </w:pPr>
      <w:r w:rsidRPr="00487134">
        <w:rPr>
          <w:b/>
          <w:bCs/>
        </w:rPr>
        <w:t xml:space="preserve">Figure 3.1. </w:t>
      </w:r>
      <w:r w:rsidRPr="003016B1">
        <w:t>MTS assay results showing the cell survival rates (%) of (a) HCT-116 and (b) HT-29 colorectal cancer cell lines, and (c) MRC-5 normal fibroblast cells after 72 hours of GA exposure at varying concentrations (w/v). Cell viability is presented as the percentage of viable cells relative to the negative control (NC).</w:t>
      </w:r>
    </w:p>
    <w:p w14:paraId="1F7E5D9A" w14:textId="77777777" w:rsidR="00487134" w:rsidRPr="00487134" w:rsidRDefault="00487134" w:rsidP="00487134">
      <w:pPr>
        <w:pStyle w:val="MDPI31text"/>
        <w:rPr>
          <w:b/>
          <w:bCs/>
        </w:rPr>
      </w:pPr>
    </w:p>
    <w:p w14:paraId="4DD9AA7F" w14:textId="77777777" w:rsidR="00487134" w:rsidRPr="00487134" w:rsidRDefault="00487134" w:rsidP="00487134">
      <w:pPr>
        <w:pStyle w:val="MDPI31text"/>
        <w:rPr>
          <w:b/>
          <w:bCs/>
        </w:rPr>
      </w:pPr>
    </w:p>
    <w:p w14:paraId="326EA3E7" w14:textId="77777777" w:rsidR="00487134" w:rsidRPr="00487134" w:rsidRDefault="00487134" w:rsidP="00487134">
      <w:pPr>
        <w:pStyle w:val="MDPI31text"/>
        <w:rPr>
          <w:b/>
          <w:bCs/>
        </w:rPr>
      </w:pPr>
    </w:p>
    <w:p w14:paraId="59929F9F" w14:textId="77777777" w:rsidR="00487134" w:rsidRPr="00487134" w:rsidRDefault="00487134" w:rsidP="00487134">
      <w:pPr>
        <w:pStyle w:val="MDPI31text"/>
        <w:rPr>
          <w:b/>
          <w:bCs/>
        </w:rPr>
      </w:pPr>
    </w:p>
    <w:p w14:paraId="69027445" w14:textId="77777777" w:rsidR="00487134" w:rsidRPr="00487134" w:rsidRDefault="00487134" w:rsidP="00487134">
      <w:pPr>
        <w:pStyle w:val="MDPI31text"/>
        <w:rPr>
          <w:b/>
          <w:bCs/>
        </w:rPr>
      </w:pPr>
    </w:p>
    <w:p w14:paraId="08168C8B" w14:textId="5751C9C2" w:rsidR="00487134" w:rsidRDefault="00487134" w:rsidP="004F6FC3">
      <w:pPr>
        <w:pStyle w:val="MDPI31text"/>
      </w:pPr>
    </w:p>
    <w:p w14:paraId="7D0A8F92" w14:textId="77777777" w:rsidR="00167CAE" w:rsidRPr="002B659A" w:rsidRDefault="00167CAE" w:rsidP="00167CAE">
      <w:pPr>
        <w:spacing w:line="240" w:lineRule="auto"/>
        <w:rPr>
          <w:rFonts w:ascii="Calibri" w:eastAsia="Calibri" w:hAnsi="Calibri"/>
          <w:kern w:val="2"/>
          <w:sz w:val="24"/>
          <w:szCs w:val="24"/>
          <w14:ligatures w14:val="standardContextual"/>
        </w:rPr>
      </w:pPr>
    </w:p>
    <w:p w14:paraId="1932C449" w14:textId="77777777" w:rsidR="00167CAE" w:rsidRPr="00167CAE" w:rsidRDefault="00167CAE" w:rsidP="00167CAE">
      <w:pPr>
        <w:spacing w:line="360" w:lineRule="auto"/>
        <w:jc w:val="center"/>
        <w:rPr>
          <w:rFonts w:eastAsia="Times New Roman" w:cs="Cordia New"/>
          <w:sz w:val="18"/>
          <w:szCs w:val="22"/>
          <w:lang w:eastAsia="de-DE" w:bidi="en-US"/>
        </w:rPr>
      </w:pPr>
      <w:r w:rsidRPr="00167CAE">
        <w:rPr>
          <w:rFonts w:eastAsia="Times New Roman"/>
          <w:b/>
          <w:bCs/>
          <w:snapToGrid w:val="0"/>
          <w:szCs w:val="22"/>
          <w:lang w:eastAsia="de-DE" w:bidi="en-US"/>
        </w:rPr>
        <w:t xml:space="preserve">Table 1. </w:t>
      </w:r>
      <w:r w:rsidRPr="00167CAE">
        <w:rPr>
          <w:rFonts w:eastAsia="Times New Roman"/>
          <w:snapToGrid w:val="0"/>
          <w:szCs w:val="22"/>
          <w:lang w:eastAsia="de-DE" w:bidi="en-US"/>
        </w:rPr>
        <w:t>I</w:t>
      </w:r>
      <w:r w:rsidRPr="00167CAE">
        <w:rPr>
          <w:rFonts w:eastAsia="Times New Roman" w:cs="Cordia New"/>
          <w:sz w:val="18"/>
          <w:szCs w:val="22"/>
          <w:lang w:eastAsia="de-DE" w:bidi="en-US"/>
        </w:rPr>
        <w:t>C50 Values of treatment for cell lines.</w:t>
      </w:r>
    </w:p>
    <w:tbl>
      <w:tblPr>
        <w:tblStyle w:val="TabloKlavuzu1"/>
        <w:tblW w:w="0" w:type="auto"/>
        <w:jc w:val="center"/>
        <w:tblLook w:val="04A0" w:firstRow="1" w:lastRow="0" w:firstColumn="1" w:lastColumn="0" w:noHBand="0" w:noVBand="1"/>
      </w:tblPr>
      <w:tblGrid>
        <w:gridCol w:w="2285"/>
        <w:gridCol w:w="2258"/>
        <w:gridCol w:w="2259"/>
        <w:gridCol w:w="2260"/>
      </w:tblGrid>
      <w:tr w:rsidR="00167CAE" w:rsidRPr="002B659A" w14:paraId="314410FA" w14:textId="77777777" w:rsidTr="00167CAE">
        <w:trPr>
          <w:jc w:val="center"/>
        </w:trPr>
        <w:tc>
          <w:tcPr>
            <w:tcW w:w="2285" w:type="dxa"/>
          </w:tcPr>
          <w:p w14:paraId="4BA0DBE4" w14:textId="77777777" w:rsidR="00167CAE" w:rsidRPr="00167CAE" w:rsidRDefault="00167CAE" w:rsidP="00167CAE">
            <w:pPr>
              <w:pStyle w:val="MDPI42tablebody"/>
              <w:rPr>
                <w:rFonts w:cs="Times New Roman"/>
                <w:b/>
                <w:bCs/>
                <w:sz w:val="20"/>
                <w:szCs w:val="20"/>
              </w:rPr>
            </w:pPr>
            <w:r w:rsidRPr="00167CAE">
              <w:rPr>
                <w:rFonts w:cs="Times New Roman"/>
                <w:b/>
                <w:bCs/>
                <w:sz w:val="20"/>
                <w:szCs w:val="20"/>
              </w:rPr>
              <w:t>Treatments</w:t>
            </w:r>
          </w:p>
        </w:tc>
        <w:tc>
          <w:tcPr>
            <w:tcW w:w="2258" w:type="dxa"/>
          </w:tcPr>
          <w:p w14:paraId="75209C95" w14:textId="77777777" w:rsidR="00167CAE" w:rsidRPr="00167CAE" w:rsidRDefault="00167CAE" w:rsidP="00167CAE">
            <w:pPr>
              <w:pStyle w:val="MDPI42tablebody"/>
              <w:rPr>
                <w:rFonts w:cs="Times New Roman"/>
                <w:b/>
                <w:bCs/>
                <w:sz w:val="20"/>
                <w:szCs w:val="20"/>
              </w:rPr>
            </w:pPr>
            <w:r w:rsidRPr="00167CAE">
              <w:rPr>
                <w:rFonts w:cs="Times New Roman"/>
                <w:b/>
                <w:bCs/>
                <w:sz w:val="20"/>
                <w:szCs w:val="20"/>
              </w:rPr>
              <w:t>IC-50 Value of HCT-116 (w/v)</w:t>
            </w:r>
          </w:p>
        </w:tc>
        <w:tc>
          <w:tcPr>
            <w:tcW w:w="2259" w:type="dxa"/>
          </w:tcPr>
          <w:p w14:paraId="7F23E966" w14:textId="77777777" w:rsidR="00167CAE" w:rsidRPr="00167CAE" w:rsidRDefault="00167CAE" w:rsidP="00167CAE">
            <w:pPr>
              <w:pStyle w:val="MDPI42tablebody"/>
              <w:rPr>
                <w:rFonts w:cs="Times New Roman"/>
                <w:b/>
                <w:bCs/>
                <w:sz w:val="20"/>
                <w:szCs w:val="20"/>
              </w:rPr>
            </w:pPr>
            <w:r w:rsidRPr="00167CAE">
              <w:rPr>
                <w:rFonts w:cs="Times New Roman"/>
                <w:b/>
                <w:bCs/>
                <w:sz w:val="20"/>
                <w:szCs w:val="20"/>
              </w:rPr>
              <w:t xml:space="preserve">IC-50 Value of </w:t>
            </w:r>
          </w:p>
          <w:p w14:paraId="1FBDF634" w14:textId="77777777" w:rsidR="00167CAE" w:rsidRPr="00167CAE" w:rsidRDefault="00167CAE" w:rsidP="00167CAE">
            <w:pPr>
              <w:pStyle w:val="MDPI42tablebody"/>
              <w:rPr>
                <w:rFonts w:cs="Times New Roman"/>
                <w:sz w:val="20"/>
                <w:szCs w:val="20"/>
              </w:rPr>
            </w:pPr>
            <w:r w:rsidRPr="00167CAE">
              <w:rPr>
                <w:rFonts w:cs="Times New Roman"/>
                <w:b/>
                <w:bCs/>
                <w:sz w:val="20"/>
                <w:szCs w:val="20"/>
              </w:rPr>
              <w:t>HT-29 (w/v)</w:t>
            </w:r>
          </w:p>
        </w:tc>
        <w:tc>
          <w:tcPr>
            <w:tcW w:w="2260" w:type="dxa"/>
          </w:tcPr>
          <w:p w14:paraId="559ADE04" w14:textId="77777777" w:rsidR="00167CAE" w:rsidRPr="00167CAE" w:rsidRDefault="00167CAE" w:rsidP="00167CAE">
            <w:pPr>
              <w:pStyle w:val="MDPI42tablebody"/>
              <w:rPr>
                <w:rFonts w:cs="Times New Roman"/>
                <w:b/>
                <w:bCs/>
                <w:sz w:val="20"/>
                <w:szCs w:val="20"/>
              </w:rPr>
            </w:pPr>
            <w:r w:rsidRPr="00167CAE">
              <w:rPr>
                <w:rFonts w:cs="Times New Roman"/>
                <w:b/>
                <w:bCs/>
                <w:sz w:val="20"/>
                <w:szCs w:val="20"/>
              </w:rPr>
              <w:t>IC-50 Value of MRC-5 (w/v)</w:t>
            </w:r>
          </w:p>
        </w:tc>
      </w:tr>
      <w:tr w:rsidR="00167CAE" w:rsidRPr="002B659A" w14:paraId="539D70D3" w14:textId="77777777" w:rsidTr="00167CAE">
        <w:trPr>
          <w:jc w:val="center"/>
        </w:trPr>
        <w:tc>
          <w:tcPr>
            <w:tcW w:w="2285" w:type="dxa"/>
          </w:tcPr>
          <w:p w14:paraId="1B4C1247" w14:textId="77777777" w:rsidR="00167CAE" w:rsidRPr="00167CAE" w:rsidRDefault="00167CAE" w:rsidP="00167CAE">
            <w:pPr>
              <w:pStyle w:val="MDPI42tablebody"/>
              <w:rPr>
                <w:rFonts w:cs="Times New Roman"/>
                <w:b/>
                <w:bCs/>
                <w:i/>
                <w:iCs/>
                <w:sz w:val="20"/>
                <w:szCs w:val="20"/>
              </w:rPr>
            </w:pPr>
            <w:r w:rsidRPr="00167CAE">
              <w:rPr>
                <w:rFonts w:cs="Times New Roman"/>
                <w:b/>
                <w:bCs/>
                <w:i/>
                <w:iCs/>
                <w:sz w:val="20"/>
                <w:szCs w:val="20"/>
              </w:rPr>
              <w:t>Gum Arabic (GA)</w:t>
            </w:r>
          </w:p>
        </w:tc>
        <w:tc>
          <w:tcPr>
            <w:tcW w:w="2258" w:type="dxa"/>
          </w:tcPr>
          <w:p w14:paraId="5065DDE5" w14:textId="77777777" w:rsidR="00167CAE" w:rsidRPr="00167CAE" w:rsidRDefault="00167CAE" w:rsidP="00167CAE">
            <w:pPr>
              <w:pStyle w:val="MDPI42tablebody"/>
              <w:rPr>
                <w:rFonts w:cs="Times New Roman"/>
                <w:sz w:val="20"/>
                <w:szCs w:val="20"/>
              </w:rPr>
            </w:pPr>
            <w:r w:rsidRPr="00167CAE">
              <w:rPr>
                <w:rFonts w:cs="Times New Roman"/>
                <w:sz w:val="20"/>
                <w:szCs w:val="20"/>
              </w:rPr>
              <w:t>10 %</w:t>
            </w:r>
          </w:p>
        </w:tc>
        <w:tc>
          <w:tcPr>
            <w:tcW w:w="2259" w:type="dxa"/>
          </w:tcPr>
          <w:p w14:paraId="6EFE8B8E" w14:textId="77777777" w:rsidR="00167CAE" w:rsidRPr="00167CAE" w:rsidRDefault="00167CAE" w:rsidP="00167CAE">
            <w:pPr>
              <w:pStyle w:val="MDPI42tablebody"/>
              <w:rPr>
                <w:rFonts w:cs="Times New Roman"/>
                <w:sz w:val="20"/>
                <w:szCs w:val="20"/>
              </w:rPr>
            </w:pPr>
            <w:r w:rsidRPr="00167CAE">
              <w:rPr>
                <w:rFonts w:cs="Times New Roman"/>
                <w:sz w:val="20"/>
                <w:szCs w:val="20"/>
              </w:rPr>
              <w:t>7.5%</w:t>
            </w:r>
          </w:p>
        </w:tc>
        <w:tc>
          <w:tcPr>
            <w:tcW w:w="2260" w:type="dxa"/>
          </w:tcPr>
          <w:p w14:paraId="363CBFF8" w14:textId="77777777" w:rsidR="00167CAE" w:rsidRPr="00167CAE" w:rsidRDefault="00167CAE" w:rsidP="00167CAE">
            <w:pPr>
              <w:pStyle w:val="MDPI42tablebody"/>
              <w:rPr>
                <w:rFonts w:cs="Times New Roman"/>
                <w:sz w:val="20"/>
                <w:szCs w:val="20"/>
              </w:rPr>
            </w:pPr>
            <w:r w:rsidRPr="00167CAE">
              <w:rPr>
                <w:rFonts w:cs="Times New Roman"/>
                <w:sz w:val="20"/>
                <w:szCs w:val="20"/>
              </w:rPr>
              <w:t>15%</w:t>
            </w:r>
          </w:p>
        </w:tc>
      </w:tr>
    </w:tbl>
    <w:p w14:paraId="59FE1F6C" w14:textId="77777777" w:rsidR="00167CAE" w:rsidRPr="002B659A" w:rsidRDefault="00167CAE" w:rsidP="00167CAE">
      <w:pPr>
        <w:spacing w:line="360" w:lineRule="auto"/>
        <w:jc w:val="center"/>
        <w:rPr>
          <w:rFonts w:ascii="Times New Roman" w:eastAsia="Calibri" w:hAnsi="Times New Roman"/>
          <w:b/>
          <w:bCs/>
          <w:i/>
          <w:iCs/>
        </w:rPr>
      </w:pPr>
    </w:p>
    <w:p w14:paraId="03E6060E" w14:textId="77777777" w:rsidR="007D1DA2" w:rsidRPr="007D1DA2" w:rsidRDefault="007D1DA2" w:rsidP="007D1DA2">
      <w:pPr>
        <w:pStyle w:val="MDPI31text"/>
      </w:pPr>
      <w:r w:rsidRPr="007D1DA2">
        <w:t xml:space="preserve">In order to assess the cellular response to GA treatment, the expression levels of antioxidant-related genes along with the concentrations of extracellular metal ions were analyzed in HCT-116 and HT-29 colorectal cancer cell lines (Figure 3.2a and Figure 3.2b). GA exposure resulted in a marked upregulation of </w:t>
      </w:r>
      <w:r w:rsidRPr="007D1DA2">
        <w:rPr>
          <w:i/>
          <w:iCs/>
        </w:rPr>
        <w:t>GPX4</w:t>
      </w:r>
      <w:r w:rsidRPr="007D1DA2">
        <w:t xml:space="preserve"> and </w:t>
      </w:r>
      <w:r w:rsidRPr="007D1DA2">
        <w:rPr>
          <w:i/>
          <w:iCs/>
        </w:rPr>
        <w:t>NFKB</w:t>
      </w:r>
      <w:r w:rsidRPr="007D1DA2">
        <w:t xml:space="preserve"> expression levels in both HCT-116 and HT-29 cell lines compared to the negative control (****p &lt; 0.0001). While the expression levels of </w:t>
      </w:r>
      <w:r w:rsidRPr="007D1DA2">
        <w:rPr>
          <w:i/>
          <w:iCs/>
        </w:rPr>
        <w:t>CAT</w:t>
      </w:r>
      <w:r w:rsidRPr="007D1DA2">
        <w:t xml:space="preserve"> and </w:t>
      </w:r>
      <w:r w:rsidRPr="007D1DA2">
        <w:rPr>
          <w:i/>
          <w:iCs/>
        </w:rPr>
        <w:t>SOD1</w:t>
      </w:r>
      <w:r w:rsidRPr="007D1DA2">
        <w:t xml:space="preserve"> remained unchanged in HCT-116 cells, a significant elevation of </w:t>
      </w:r>
      <w:r w:rsidRPr="007D1DA2">
        <w:rPr>
          <w:i/>
          <w:iCs/>
        </w:rPr>
        <w:t>SOD1</w:t>
      </w:r>
      <w:r w:rsidRPr="007D1DA2">
        <w:t xml:space="preserve"> expression was observed in HT-29 cells (p &lt; 0.01), suggesting a cell line-specific antioxidant response. </w:t>
      </w:r>
      <w:r w:rsidRPr="007D1DA2">
        <w:rPr>
          <w:i/>
          <w:iCs/>
        </w:rPr>
        <w:t>GST2A</w:t>
      </w:r>
      <w:r w:rsidRPr="007D1DA2">
        <w:t xml:space="preserve"> expression, however, showed no significant change in either of the cell lines</w:t>
      </w:r>
    </w:p>
    <w:p w14:paraId="2A830654" w14:textId="77777777" w:rsidR="007D1DA2" w:rsidRPr="007D1DA2" w:rsidRDefault="007D1DA2" w:rsidP="007D1DA2">
      <w:pPr>
        <w:pStyle w:val="MDPI31text"/>
      </w:pPr>
      <w:r w:rsidRPr="007D1DA2">
        <w:t>To further elucidate the extracellular biochemical alterations induced by GA, metal ion concentrations (Mg²⁴, Mg²⁵, K³⁹, K⁴¹, Ca⁴³, and Ca⁴⁴) in the culture media of HCT-116 and HT-29 cells were measured after 72 hours of exposure. A substantial increase in the concentrations of magnesium (both Mg²⁴ and Mg²⁵), potassium (K³⁹ and K⁴¹), and calcium isotopes (Ca⁴³ and Ca⁴⁴) was observed in GA-treated groups compared to the negative control in both cell lines (***p &lt; 0.0001). This elevation indicates a potential disruption in ion homeostasis and highlights the involvement of GA in modulating extracellular mineral dynamics.</w:t>
      </w:r>
    </w:p>
    <w:p w14:paraId="7F9683AD" w14:textId="77777777" w:rsidR="007D1DA2" w:rsidRPr="007D1DA2" w:rsidRDefault="007D1DA2" w:rsidP="007D1DA2">
      <w:pPr>
        <w:pStyle w:val="MDPI31text"/>
      </w:pPr>
      <w:r w:rsidRPr="007D1DA2">
        <w:t>Following GA treatment, the concentrations of selected heavy metal ions—namely Al²⁷, Mn⁵⁵, Zn⁶⁵, and Zn⁶⁷—in the extracellular medium were significantly increased in both HT-29 and HCT-116 cell lines compared to their respective controls (Figure 3.4a, 3.4b). Among these, Zn isotopes showed the most prominent elevation (***p &lt; 0.0001), suggesting a possible alteration in zinc homeostasis. Interestingly, Al²⁷ levels did not significantly change in HT-29 cells, whereas a slight but statistically insignificant increase was observed in HCT-116 cells (ns). These findings might reflect a GA-induced modulation of metal ion transport or cellular detoxification processes.</w:t>
      </w:r>
    </w:p>
    <w:p w14:paraId="77B60385" w14:textId="4A7295E3" w:rsidR="00487134" w:rsidRDefault="00487134" w:rsidP="004F6FC3">
      <w:pPr>
        <w:pStyle w:val="MDPI31text"/>
      </w:pPr>
    </w:p>
    <w:p w14:paraId="44B792FE" w14:textId="05589425" w:rsidR="00324C7E" w:rsidRDefault="00324C7E" w:rsidP="00324C7E">
      <w:pPr>
        <w:pStyle w:val="MDPI31text"/>
        <w:jc w:val="center"/>
      </w:pPr>
      <w:r w:rsidRPr="00324C7E">
        <w:rPr>
          <w:lang w:val="tr-TR"/>
        </w:rPr>
        <w:object w:dxaOrig="10706" w:dyaOrig="3367" w14:anchorId="47ECBDEA">
          <v:shape id="_x0000_i1026" type="#_x0000_t75" style="width:366pt;height:114.75pt" o:ole="">
            <v:imagedata r:id="rId9" o:title=""/>
          </v:shape>
          <o:OLEObject Type="Embed" ProgID="Prism8.Document" ShapeID="_x0000_i1026" DrawAspect="Content" ObjectID="_1837081443" r:id="rId10"/>
        </w:object>
      </w:r>
    </w:p>
    <w:p w14:paraId="28ED000E" w14:textId="188BFB6D" w:rsidR="00487134" w:rsidRDefault="00324C7E" w:rsidP="004F6FC3">
      <w:pPr>
        <w:pStyle w:val="MDPI31text"/>
      </w:pPr>
      <w:r w:rsidRPr="00324C7E">
        <w:rPr>
          <w:b/>
          <w:bCs/>
        </w:rPr>
        <w:t xml:space="preserve">                  (a)                               </w:t>
      </w:r>
      <w:r>
        <w:rPr>
          <w:b/>
          <w:bCs/>
        </w:rPr>
        <w:t xml:space="preserve">       </w:t>
      </w:r>
      <w:r w:rsidRPr="003E6FB2">
        <w:rPr>
          <w:b/>
          <w:bCs/>
        </w:rPr>
        <w:t>(</w:t>
      </w:r>
      <w:r>
        <w:rPr>
          <w:b/>
          <w:bCs/>
        </w:rPr>
        <w:t>b</w:t>
      </w:r>
      <w:r w:rsidRPr="003E6FB2">
        <w:rPr>
          <w:b/>
          <w:bCs/>
        </w:rPr>
        <w:t>)</w:t>
      </w:r>
      <w:r>
        <w:rPr>
          <w:b/>
          <w:bCs/>
        </w:rPr>
        <w:t xml:space="preserve">                               </w:t>
      </w:r>
    </w:p>
    <w:p w14:paraId="0BBA34FF" w14:textId="27006F44" w:rsidR="00487134" w:rsidRDefault="00487134" w:rsidP="004F6FC3">
      <w:pPr>
        <w:pStyle w:val="MDPI31text"/>
      </w:pPr>
    </w:p>
    <w:p w14:paraId="3E49A0D7" w14:textId="77777777" w:rsidR="000F312D" w:rsidRPr="000F312D" w:rsidRDefault="000F312D" w:rsidP="000F312D">
      <w:pPr>
        <w:pStyle w:val="MDPI31text"/>
      </w:pPr>
      <w:r w:rsidRPr="000F312D">
        <w:rPr>
          <w:b/>
          <w:bCs/>
        </w:rPr>
        <w:t>Figure 3.2</w:t>
      </w:r>
      <w:r w:rsidRPr="000F312D">
        <w:t xml:space="preserve"> Relative mRNA expression levels of antioxidant-related genes in (a) HT-29 cancer cell line (b)HCT-116 cancer cell line after 72 hours of GA exposure.  (ns: non-significant, *p &lt; 0.05, **p &lt; 0.01, ***p &lt; 0.001, ****p &lt; 0.0001)</w:t>
      </w:r>
    </w:p>
    <w:p w14:paraId="56B94DCE" w14:textId="77777777" w:rsidR="00487134" w:rsidRDefault="00487134" w:rsidP="004F6FC3">
      <w:pPr>
        <w:pStyle w:val="MDPI31text"/>
      </w:pPr>
    </w:p>
    <w:p w14:paraId="0E0E4254" w14:textId="1CEAA635" w:rsidR="000F312D" w:rsidRPr="003D585B" w:rsidRDefault="00DC2AFA" w:rsidP="00DC2AFA">
      <w:pPr>
        <w:pStyle w:val="MDPI31text"/>
        <w:jc w:val="center"/>
      </w:pPr>
      <w:r w:rsidRPr="00DC2AFA">
        <w:rPr>
          <w:lang w:val="tr-TR"/>
        </w:rPr>
        <w:object w:dxaOrig="10769" w:dyaOrig="4094" w14:anchorId="3CB48CA7">
          <v:shape id="_x0000_i1027" type="#_x0000_t75" style="width:389.25pt;height:147.75pt" o:ole="">
            <v:imagedata r:id="rId11" o:title=""/>
          </v:shape>
          <o:OLEObject Type="Embed" ProgID="Prism8.Document" ShapeID="_x0000_i1027" DrawAspect="Content" ObjectID="_1837081444" r:id="rId12"/>
        </w:object>
      </w:r>
    </w:p>
    <w:p w14:paraId="2349892D" w14:textId="77777777" w:rsidR="00DC2AFA" w:rsidRDefault="00DC2AFA" w:rsidP="00DC2AFA">
      <w:pPr>
        <w:pStyle w:val="MDPI31text"/>
      </w:pPr>
      <w:r w:rsidRPr="00324C7E">
        <w:rPr>
          <w:b/>
          <w:bCs/>
        </w:rPr>
        <w:t xml:space="preserve">                  (a)                               </w:t>
      </w:r>
      <w:r>
        <w:rPr>
          <w:b/>
          <w:bCs/>
        </w:rPr>
        <w:t xml:space="preserve">       </w:t>
      </w:r>
      <w:r w:rsidRPr="003E6FB2">
        <w:rPr>
          <w:b/>
          <w:bCs/>
        </w:rPr>
        <w:t>(</w:t>
      </w:r>
      <w:r>
        <w:rPr>
          <w:b/>
          <w:bCs/>
        </w:rPr>
        <w:t>b</w:t>
      </w:r>
      <w:r w:rsidRPr="003E6FB2">
        <w:rPr>
          <w:b/>
          <w:bCs/>
        </w:rPr>
        <w:t>)</w:t>
      </w:r>
      <w:r>
        <w:rPr>
          <w:b/>
          <w:bCs/>
        </w:rPr>
        <w:t xml:space="preserve">                               </w:t>
      </w:r>
    </w:p>
    <w:p w14:paraId="042A2D6A" w14:textId="324CCDDC" w:rsidR="00660619" w:rsidRPr="00660619" w:rsidRDefault="00660619" w:rsidP="00757B4E">
      <w:pPr>
        <w:pStyle w:val="MDPI21heading1"/>
        <w:jc w:val="center"/>
        <w:rPr>
          <w:b w:val="0"/>
          <w:sz w:val="20"/>
        </w:rPr>
      </w:pPr>
      <w:bookmarkStart w:id="2" w:name="_Hlk203475184"/>
      <w:r w:rsidRPr="00660619">
        <w:rPr>
          <w:bCs/>
          <w:sz w:val="20"/>
        </w:rPr>
        <w:t>Figure 3.3</w:t>
      </w:r>
      <w:r w:rsidRPr="00660619">
        <w:rPr>
          <w:b w:val="0"/>
          <w:sz w:val="20"/>
        </w:rPr>
        <w:t xml:space="preserve"> </w:t>
      </w:r>
      <w:bookmarkEnd w:id="2"/>
      <w:r w:rsidRPr="00660619">
        <w:rPr>
          <w:b w:val="0"/>
          <w:sz w:val="20"/>
        </w:rPr>
        <w:t>Concentrations of selected metal ions (Mg²⁴, Mg²⁵, K³⁹, K⁴¹, Ca⁴³, and Ca⁴⁴) in the culture medium of (a) HT-29 and (b) HCT-116 colorectal cancer cell lines after 72 hours of Gum Arabic (GA) treatment. Metal ion levels were determined using ICP-MS. Statistical significance is indicated as follows: ns: non-significant, *p &lt; 0.05, **p &lt; 0.01, ***p &lt; 0.001, ****p &lt; 0.0001.</w:t>
      </w:r>
    </w:p>
    <w:p w14:paraId="1B3321C7" w14:textId="77777777" w:rsidR="00DC2AFA" w:rsidRDefault="00DC2AFA" w:rsidP="004F6FC3">
      <w:pPr>
        <w:pStyle w:val="MDPI21heading1"/>
      </w:pPr>
    </w:p>
    <w:p w14:paraId="0A7D8C58" w14:textId="10FF300C" w:rsidR="00DC2AFA" w:rsidRDefault="00CD5615" w:rsidP="004F6FC3">
      <w:pPr>
        <w:pStyle w:val="MDPI21heading1"/>
      </w:pPr>
      <w:r w:rsidRPr="00CD5615">
        <w:rPr>
          <w:lang w:val="tr-TR"/>
        </w:rPr>
        <w:object w:dxaOrig="10728" w:dyaOrig="4094" w14:anchorId="2D9B449E">
          <v:shape id="_x0000_i1028" type="#_x0000_t75" style="width:390.75pt;height:149.25pt" o:ole="">
            <v:imagedata r:id="rId13" o:title=""/>
          </v:shape>
          <o:OLEObject Type="Embed" ProgID="Prism8.Document" ShapeID="_x0000_i1028" DrawAspect="Content" ObjectID="_1837081445" r:id="rId14"/>
        </w:object>
      </w:r>
    </w:p>
    <w:p w14:paraId="213BFD28" w14:textId="77777777" w:rsidR="00CD5615" w:rsidRDefault="00CD5615" w:rsidP="00CD5615">
      <w:pPr>
        <w:pStyle w:val="MDPI31text"/>
      </w:pPr>
      <w:r w:rsidRPr="00324C7E">
        <w:rPr>
          <w:b/>
          <w:bCs/>
        </w:rPr>
        <w:t xml:space="preserve">                  (a)                               </w:t>
      </w:r>
      <w:r>
        <w:rPr>
          <w:b/>
          <w:bCs/>
        </w:rPr>
        <w:t xml:space="preserve">       </w:t>
      </w:r>
      <w:r w:rsidRPr="003E6FB2">
        <w:rPr>
          <w:b/>
          <w:bCs/>
        </w:rPr>
        <w:t>(</w:t>
      </w:r>
      <w:r>
        <w:rPr>
          <w:b/>
          <w:bCs/>
        </w:rPr>
        <w:t>b</w:t>
      </w:r>
      <w:r w:rsidRPr="003E6FB2">
        <w:rPr>
          <w:b/>
          <w:bCs/>
        </w:rPr>
        <w:t>)</w:t>
      </w:r>
      <w:r>
        <w:rPr>
          <w:b/>
          <w:bCs/>
        </w:rPr>
        <w:t xml:space="preserve">                               </w:t>
      </w:r>
    </w:p>
    <w:p w14:paraId="156BA580" w14:textId="4723C337" w:rsidR="00CD5615" w:rsidRPr="00660619" w:rsidRDefault="00CD5615" w:rsidP="00CD5615">
      <w:pPr>
        <w:pStyle w:val="MDPI21heading1"/>
        <w:jc w:val="center"/>
        <w:rPr>
          <w:b w:val="0"/>
          <w:sz w:val="20"/>
        </w:rPr>
      </w:pPr>
      <w:r w:rsidRPr="00660619">
        <w:rPr>
          <w:bCs/>
          <w:sz w:val="20"/>
        </w:rPr>
        <w:t>Figure 3.</w:t>
      </w:r>
      <w:r w:rsidR="000F33D0">
        <w:rPr>
          <w:bCs/>
          <w:sz w:val="20"/>
        </w:rPr>
        <w:t>4</w:t>
      </w:r>
      <w:r w:rsidRPr="00660619">
        <w:rPr>
          <w:b w:val="0"/>
          <w:sz w:val="20"/>
        </w:rPr>
        <w:t xml:space="preserve"> </w:t>
      </w:r>
      <w:r w:rsidR="000F33D0" w:rsidRPr="000F33D0">
        <w:rPr>
          <w:b w:val="0"/>
          <w:sz w:val="20"/>
        </w:rPr>
        <w:t>Concentrations of selected trace elements (Al²⁷, Mn⁵⁵, Zn⁶⁵, and Zn⁶⁷) in the culture medium of (a) HT-29 and (b) HCT-116 colorectal cancer cell lines after 72-hour Gum Arabic (GA) treatment. The levels of trace elements were quantified using ICP-MS</w:t>
      </w:r>
      <w:r w:rsidRPr="00660619">
        <w:rPr>
          <w:b w:val="0"/>
          <w:sz w:val="20"/>
        </w:rPr>
        <w:t>. Metal ion levels were determined using ICP-MS. Statistical significance is indicated as follows: ns: non-significant, *p &lt; 0.05, **p &lt; 0.01, ***p &lt; 0.001, ****p &lt; 0.0001.</w:t>
      </w:r>
    </w:p>
    <w:p w14:paraId="197B27BA" w14:textId="77777777" w:rsidR="00DC2AFA" w:rsidRDefault="00DC2AFA" w:rsidP="004F6FC3">
      <w:pPr>
        <w:pStyle w:val="MDPI21heading1"/>
      </w:pPr>
    </w:p>
    <w:p w14:paraId="75E51B86" w14:textId="6E954033" w:rsidR="00DC2AFA" w:rsidRDefault="00DC2AFA" w:rsidP="004F6FC3">
      <w:pPr>
        <w:pStyle w:val="MDPI21heading1"/>
      </w:pPr>
    </w:p>
    <w:p w14:paraId="6ECCCEC6" w14:textId="2AEB2C66" w:rsidR="00F01D5E" w:rsidRDefault="00F01D5E" w:rsidP="004F6FC3">
      <w:pPr>
        <w:pStyle w:val="MDPI21heading1"/>
      </w:pPr>
    </w:p>
    <w:p w14:paraId="1B12FC94" w14:textId="7D129941" w:rsidR="00F01D5E" w:rsidRDefault="00F01D5E" w:rsidP="004F6FC3">
      <w:pPr>
        <w:pStyle w:val="MDPI21heading1"/>
      </w:pPr>
    </w:p>
    <w:p w14:paraId="4D8E57FC" w14:textId="3EE5133F" w:rsidR="00F01D5E" w:rsidRDefault="00F01D5E" w:rsidP="004F6FC3">
      <w:pPr>
        <w:pStyle w:val="MDPI21heading1"/>
      </w:pPr>
    </w:p>
    <w:p w14:paraId="752021EA" w14:textId="77777777" w:rsidR="00F01D5E" w:rsidRDefault="00F01D5E" w:rsidP="004F6FC3">
      <w:pPr>
        <w:pStyle w:val="MDPI21heading1"/>
      </w:pPr>
    </w:p>
    <w:p w14:paraId="0849F864" w14:textId="733C9320" w:rsidR="00F10E2D" w:rsidRPr="003D585B" w:rsidRDefault="00F10E2D" w:rsidP="004F6FC3">
      <w:pPr>
        <w:pStyle w:val="MDPI21heading1"/>
      </w:pPr>
      <w:r w:rsidRPr="003D585B">
        <w:lastRenderedPageBreak/>
        <w:t>4. Discussion</w:t>
      </w:r>
    </w:p>
    <w:p w14:paraId="6EAD9EE5" w14:textId="77777777" w:rsidR="00F01D5E" w:rsidRPr="00F01D5E" w:rsidRDefault="00F01D5E" w:rsidP="00F01D5E">
      <w:pPr>
        <w:pStyle w:val="MDPI21heading1"/>
        <w:rPr>
          <w:b w:val="0"/>
          <w:sz w:val="20"/>
        </w:rPr>
      </w:pPr>
      <w:r w:rsidRPr="00F01D5E">
        <w:rPr>
          <w:b w:val="0"/>
          <w:sz w:val="20"/>
        </w:rPr>
        <w:t>Gum Arabic (GA), a natural exudate derived from Acacia species, was approved by the U.S. Food and Drug Administration (FDA) in 1969 as a safe food additive [22]. Chemically, it is classified as a complex, water-soluble dietary fiber composed primarily of arabinogalactan-protein complexes [23,24]. Beyond its nutritional role, GA has a long-standing history of use in traditional medicine and continues to be extensively employed in the food, pharmaceutical, and cosmetic industries due to its emulsifying, stabilizing, and bioactive properties [23,25]. In recent years, there has been growing scientific interest in the therapeutic potential of GA owing to its notable anti-obesity [26], antioxidant [27], antimicrobial [28], immunomodulatory [29], and anticancer activities [30]. Furthermore, studies have shown that GA can mitigate ischemia/reperfusion injury in cardiac tissue by modulating oxidative stress and inflammatory pathways [31], support kidney function in chronic kidney disease [32], and serve as a biocompatible scaffold for drug delivery systems in cancer nanomedicine [33]. These findings underscore the versatile bioactivity of GA and its relevance as a multifunctional agent in both clinical and pharmaceutical contexts.</w:t>
      </w:r>
    </w:p>
    <w:p w14:paraId="15B5B500" w14:textId="77777777" w:rsidR="00F01D5E" w:rsidRPr="00F01D5E" w:rsidRDefault="00F01D5E" w:rsidP="00F01D5E">
      <w:pPr>
        <w:pStyle w:val="MDPI21heading1"/>
        <w:rPr>
          <w:b w:val="0"/>
          <w:sz w:val="20"/>
        </w:rPr>
      </w:pPr>
      <w:r w:rsidRPr="00F01D5E">
        <w:rPr>
          <w:b w:val="0"/>
          <w:sz w:val="20"/>
        </w:rPr>
        <w:t>In light of these promising properties, this study aimed to investigate the potential anticancer effects of Gum Arabic (GA) in colorectal cancer models. To achieve this, in vitro experiments were conducted using HCT-116 and HT-29 colorectal cancer cell lines. The cytotoxic effects of GA were assessed via MTS assays, and the expression levels of antioxidant-related genes (GPX4, CAT, SOD1, GSTA2, and NFKB) were analyzed by qPCR following 72-hour treatment. In addition, extracellular concentrations of key metal ions such as magnesium (Mg²⁺), calcium (Ca²⁺), potassium (K⁺), and zinc (Zn²⁺), were measured via inductively coupled plasma mass spectrometry (ICP-MS), providing further insights into the ionic alterations associated with GA exposure. In this context, the analyses were aimed to examine the effects of GA on cell viability, antioxidant response and mineral balance in colorectal cancer cells.</w:t>
      </w:r>
    </w:p>
    <w:p w14:paraId="76ED7393" w14:textId="77777777" w:rsidR="00F01D5E" w:rsidRPr="00F01D5E" w:rsidRDefault="00F01D5E" w:rsidP="00F01D5E">
      <w:pPr>
        <w:pStyle w:val="MDPI21heading1"/>
        <w:rPr>
          <w:b w:val="0"/>
          <w:sz w:val="20"/>
        </w:rPr>
      </w:pPr>
      <w:r w:rsidRPr="00F01D5E">
        <w:rPr>
          <w:b w:val="0"/>
          <w:sz w:val="20"/>
        </w:rPr>
        <w:t>In this study, GA treatment resulted in a concentration-dependent reduction in cell viability in both HCT-116 and HT-29 colorectal cancer cell lines. Notably, HT-29 cells exhibited a more pronounced sensitivity to GA, while the normal MRC-5 fibroblast cell line demonstrated relatively higher viability across the same concentration range.</w:t>
      </w:r>
    </w:p>
    <w:p w14:paraId="0E77BF8C" w14:textId="77777777" w:rsidR="00F01D5E" w:rsidRPr="00F01D5E" w:rsidRDefault="00F01D5E" w:rsidP="00F01D5E">
      <w:pPr>
        <w:pStyle w:val="MDPI21heading1"/>
        <w:rPr>
          <w:b w:val="0"/>
          <w:sz w:val="20"/>
        </w:rPr>
      </w:pPr>
      <w:r w:rsidRPr="00F01D5E">
        <w:rPr>
          <w:b w:val="0"/>
          <w:sz w:val="20"/>
        </w:rPr>
        <w:t xml:space="preserve">In this study, the effect of Gum Arabic (GA) on cell viability was firstly evaluated in colorectal cancer cell lines (HCT-116 and HT-29) and a normal human fibroblast cell line (MRC-5). The MTS assay results demonstrated a dose-dependent reduction in viability in both cancer cell lines after 72 hours of GA exposure. It is noteworthy that HT-29 cells exhibited a heightened sensitivity to GA treatment in comparison to HCT-116 cells. On the other hand, MRC-5 cells exhibited higher levels of viability across the same concentration range, indicating a selective cytotoxic effect of GA on malignant cells. These results suggest that GA exerts selective toxicity towards colorectal cancer cells while sparing normal fibroblasts, supporting its potential as a safe anticancer agent. This observation is consistent with previous findings on plant-derived polysaccharides, which have demonstrated selective cytotoxicity by preferentially targeting cancer cells while exerting minimal effects on normal cells [34]. </w:t>
      </w:r>
    </w:p>
    <w:p w14:paraId="22FC1C20" w14:textId="77777777" w:rsidR="00F01D5E" w:rsidRPr="00F01D5E" w:rsidRDefault="00F01D5E" w:rsidP="00F01D5E">
      <w:pPr>
        <w:pStyle w:val="MDPI21heading1"/>
        <w:rPr>
          <w:b w:val="0"/>
          <w:sz w:val="20"/>
        </w:rPr>
      </w:pPr>
      <w:r w:rsidRPr="00F01D5E">
        <w:rPr>
          <w:b w:val="0"/>
          <w:sz w:val="20"/>
        </w:rPr>
        <w:t xml:space="preserve">In order to further investigate the cellular antioxidant response induced by Gum Arabic (GA), the expression levels of key genes associated with oxidative stress were evaluated, namely GPX4, GSTA2, CAT, NFKB, and SOD1. Firstly, SOD1, CAT, and GPX4 act in </w:t>
      </w:r>
      <w:r w:rsidRPr="00F01D5E">
        <w:rPr>
          <w:b w:val="0"/>
          <w:sz w:val="20"/>
        </w:rPr>
        <w:lastRenderedPageBreak/>
        <w:t>concert as essential components of the cellular antioxidant defense system: SOD1 converts superoxide radicals into hydrogen peroxide, which is then detoxified by CAT and GPX4 to prevent oxidative cellular damage [35]. Additionally, GSTA2 plays a role in glutathione metabolism and contributes to cellular defense mechanisms against oxidative stress induced by reactive oxygen species (ROS) [36]. Furthermore, NF-κB has been reported to contribute to cellular protection during oxidative stress by limiting the accumulation of reactive oxygen species (ROS) and modulating redox-sensitive signaling pathways [37]. In the present study, GA treatment significantly upregulated GPX4, GSTA2, and NFKB expression in both HT-29 and HCT-116 cell lines, while CAT and SOD1 levels remained unchanged. These results suggest that GA selectively activates glutathione-dependent antioxidant pathways and stress-responsive signaling, rather than the classical hydrogen peroxide detoxification enzymes, as part of its cytoprotective mechanism.</w:t>
      </w:r>
    </w:p>
    <w:p w14:paraId="3CCFCF4B" w14:textId="77777777" w:rsidR="00F01D5E" w:rsidRPr="00F01D5E" w:rsidRDefault="00F01D5E" w:rsidP="00F01D5E">
      <w:pPr>
        <w:pStyle w:val="MDPI21heading1"/>
        <w:rPr>
          <w:b w:val="0"/>
          <w:sz w:val="20"/>
        </w:rPr>
      </w:pPr>
      <w:r w:rsidRPr="00F01D5E">
        <w:rPr>
          <w:b w:val="0"/>
          <w:sz w:val="20"/>
        </w:rPr>
        <w:t>In the present study, GA treatment significantly upregulated GPX4 and GSTA2 expression in both HT-29 and HCT-116 cell lines. These findings may indicate that GA supports glutathione-dependent detoxification mechanisms and contributes to the attenuation of lipid peroxidation. This response could potentially be associated with reduced oxidative stress and the inhibition of ferroptosis-like pathways, which are tightly regulated by GPX4 activity and intracellular glutathione levels [38]. By contrast, CAT and SOD1 expression levels remained unchanged, suggesting that GA’s antioxidative effect may act preferentially through the glutathione-dependent pathway rather than classical ROS-scavenging.</w:t>
      </w:r>
    </w:p>
    <w:p w14:paraId="0B5037A8" w14:textId="77777777" w:rsidR="00F01D5E" w:rsidRPr="00F01D5E" w:rsidRDefault="00F01D5E" w:rsidP="00F01D5E">
      <w:pPr>
        <w:pStyle w:val="MDPI21heading1"/>
        <w:rPr>
          <w:b w:val="0"/>
          <w:sz w:val="20"/>
        </w:rPr>
      </w:pPr>
      <w:r w:rsidRPr="00F01D5E">
        <w:rPr>
          <w:b w:val="0"/>
          <w:sz w:val="20"/>
        </w:rPr>
        <w:t>To gain further insight into the ionic microenvironment influenced by GA treatment, the concentrations of selected metal ions—including Fe²⁺, Mg²⁺, Zn²⁺, Mn²⁺, Cu²⁺, and Al³⁺—were measured in the culture media of GA-treated cells. Among these, Fe²⁺, Mg²⁺, Zn²⁺, and Mn²⁺ levels showed a significant increase following GA exposure in both HT-29 and HCT-116 cell lines. This increase may reflect a cellular response to oxidative stress or altered membrane transport activity, potentially contributing to redox modulation. Elevated Fe²⁺ levels, in particular, may be relevant to redox-active iron’s involvement in regulated cell death pathways such as ferroptosis, as previously proposed in iron-driven cytotoxicity models [39]. Increased Zn²⁺ and Mn²⁺—as essential cofactors for antioxidant enzymes such as superoxide dismutase and catalase—could also suggest enhanced enzymatic defense capacity under GA treatment [40]. On the other hand, Al³⁺ levels remained unchanged, indicating that GA does not affect the uptake of non-essential or potentially toxic metals under the tested conditions.</w:t>
      </w:r>
    </w:p>
    <w:p w14:paraId="3B51350B" w14:textId="66500780" w:rsidR="00F01D5E" w:rsidRDefault="00F01D5E" w:rsidP="00F01D5E">
      <w:pPr>
        <w:pStyle w:val="MDPI21heading1"/>
        <w:rPr>
          <w:b w:val="0"/>
          <w:sz w:val="20"/>
        </w:rPr>
      </w:pPr>
    </w:p>
    <w:p w14:paraId="273CADA4" w14:textId="16BBDD41" w:rsidR="00F01D5E" w:rsidRDefault="00F01D5E" w:rsidP="00F01D5E">
      <w:pPr>
        <w:pStyle w:val="MDPI21heading1"/>
        <w:rPr>
          <w:b w:val="0"/>
          <w:sz w:val="20"/>
        </w:rPr>
      </w:pPr>
    </w:p>
    <w:p w14:paraId="4023D510" w14:textId="77777777" w:rsidR="00F01D5E" w:rsidRPr="00F01D5E" w:rsidRDefault="00F01D5E" w:rsidP="00F01D5E">
      <w:pPr>
        <w:pStyle w:val="MDPI21heading1"/>
        <w:rPr>
          <w:b w:val="0"/>
          <w:sz w:val="20"/>
        </w:rPr>
      </w:pPr>
    </w:p>
    <w:p w14:paraId="356CCC26" w14:textId="77777777" w:rsidR="00F01D5E" w:rsidRPr="00F01D5E" w:rsidRDefault="00F01D5E" w:rsidP="00F01D5E">
      <w:pPr>
        <w:pStyle w:val="MDPI21heading1"/>
        <w:rPr>
          <w:b w:val="0"/>
          <w:sz w:val="20"/>
        </w:rPr>
      </w:pPr>
    </w:p>
    <w:p w14:paraId="29E0AFE3" w14:textId="77777777" w:rsidR="00F01D5E" w:rsidRPr="00F01D5E" w:rsidRDefault="00F01D5E" w:rsidP="00F01D5E">
      <w:pPr>
        <w:pStyle w:val="MDPI21heading1"/>
        <w:rPr>
          <w:b w:val="0"/>
          <w:sz w:val="20"/>
        </w:rPr>
      </w:pPr>
    </w:p>
    <w:p w14:paraId="2BC86864" w14:textId="77777777" w:rsidR="00F01D5E" w:rsidRPr="00F01D5E" w:rsidRDefault="00F01D5E" w:rsidP="00F01D5E">
      <w:pPr>
        <w:pStyle w:val="MDPI21heading1"/>
        <w:rPr>
          <w:b w:val="0"/>
          <w:sz w:val="20"/>
        </w:rPr>
      </w:pPr>
    </w:p>
    <w:p w14:paraId="6003B064" w14:textId="77777777" w:rsidR="00A1352C" w:rsidRPr="00A1352C" w:rsidRDefault="00A1352C" w:rsidP="00A1352C">
      <w:pPr>
        <w:pStyle w:val="MDPI21heading1"/>
        <w:ind w:left="0"/>
      </w:pPr>
    </w:p>
    <w:p w14:paraId="35ED00AF" w14:textId="77777777" w:rsidR="00F10E2D" w:rsidRPr="003D585B" w:rsidRDefault="00F10E2D" w:rsidP="004F6FC3">
      <w:pPr>
        <w:pStyle w:val="MDPI21heading1"/>
      </w:pPr>
      <w:r w:rsidRPr="003D585B">
        <w:lastRenderedPageBreak/>
        <w:t>5. Conclusions</w:t>
      </w:r>
    </w:p>
    <w:p w14:paraId="38D296A0" w14:textId="77777777" w:rsidR="005F3008" w:rsidRPr="005F3008" w:rsidRDefault="005F3008" w:rsidP="005F3008">
      <w:pPr>
        <w:pStyle w:val="MDPI31text"/>
      </w:pPr>
      <w:r w:rsidRPr="005F3008">
        <w:t>GA exhibited selective cytotoxicity in both colorectal cancer cell lines (HT-29 and HCT-116) while showing non-toxic effect on healthy cell line (MRC-5). The increased expression of GPX4 and GSTA2 suggests activation of glutathione-dependent antioxidant defenses. Changes in NFKB expression and metal ion levels (Fe²⁺, Zn²⁺, Mn²⁺) further indicate that GA may modulate redox homeostasis through both genetic and ionic mechanisms. These findings support the therapeutic potential of GA in oxidative stress–related cancer biology.</w:t>
      </w:r>
    </w:p>
    <w:p w14:paraId="603FF7FD" w14:textId="1C36801F" w:rsidR="00F10E2D" w:rsidRPr="003D585B" w:rsidRDefault="00F10E2D" w:rsidP="004F6FC3">
      <w:pPr>
        <w:pStyle w:val="MDPI31text"/>
      </w:pPr>
    </w:p>
    <w:p w14:paraId="75917110" w14:textId="77777777" w:rsidR="00060973" w:rsidRDefault="00060973" w:rsidP="004F6FC3">
      <w:pPr>
        <w:pStyle w:val="MDPI62backmatter"/>
        <w:spacing w:before="240"/>
        <w:rPr>
          <w:b/>
        </w:rPr>
      </w:pPr>
    </w:p>
    <w:p w14:paraId="05D1A6D5" w14:textId="77777777" w:rsidR="00060973" w:rsidRDefault="00060973" w:rsidP="004F6FC3">
      <w:pPr>
        <w:pStyle w:val="MDPI62backmatter"/>
        <w:spacing w:before="240"/>
        <w:rPr>
          <w:b/>
        </w:rPr>
      </w:pPr>
    </w:p>
    <w:p w14:paraId="666684DA" w14:textId="77777777" w:rsidR="00060973" w:rsidRDefault="00060973" w:rsidP="004F6FC3">
      <w:pPr>
        <w:pStyle w:val="MDPI62backmatter"/>
        <w:spacing w:before="240"/>
        <w:rPr>
          <w:b/>
        </w:rPr>
      </w:pPr>
    </w:p>
    <w:p w14:paraId="07F2EFE0" w14:textId="77777777" w:rsidR="00060973" w:rsidRDefault="00060973" w:rsidP="004F6FC3">
      <w:pPr>
        <w:pStyle w:val="MDPI62backmatter"/>
        <w:spacing w:before="240"/>
        <w:rPr>
          <w:b/>
        </w:rPr>
      </w:pPr>
    </w:p>
    <w:p w14:paraId="09F7E347" w14:textId="77777777" w:rsidR="00060973" w:rsidRDefault="00060973" w:rsidP="004F6FC3">
      <w:pPr>
        <w:pStyle w:val="MDPI62backmatter"/>
        <w:spacing w:before="240"/>
        <w:rPr>
          <w:b/>
        </w:rPr>
      </w:pPr>
    </w:p>
    <w:p w14:paraId="3AC9FA94" w14:textId="77777777" w:rsidR="00060973" w:rsidRDefault="00060973" w:rsidP="004F6FC3">
      <w:pPr>
        <w:pStyle w:val="MDPI62backmatter"/>
        <w:spacing w:before="240"/>
        <w:rPr>
          <w:b/>
        </w:rPr>
      </w:pPr>
    </w:p>
    <w:p w14:paraId="79D6AB24" w14:textId="77777777" w:rsidR="00060973" w:rsidRDefault="00060973" w:rsidP="004F6FC3">
      <w:pPr>
        <w:pStyle w:val="MDPI62backmatter"/>
        <w:spacing w:before="240"/>
        <w:rPr>
          <w:b/>
        </w:rPr>
      </w:pPr>
    </w:p>
    <w:p w14:paraId="767925F5" w14:textId="77777777" w:rsidR="00060973" w:rsidRDefault="00060973" w:rsidP="004F6FC3">
      <w:pPr>
        <w:pStyle w:val="MDPI62backmatter"/>
        <w:spacing w:before="240"/>
        <w:rPr>
          <w:b/>
        </w:rPr>
      </w:pPr>
    </w:p>
    <w:p w14:paraId="395D80D4" w14:textId="77777777" w:rsidR="00060973" w:rsidRDefault="00060973" w:rsidP="004F6FC3">
      <w:pPr>
        <w:pStyle w:val="MDPI62backmatter"/>
        <w:spacing w:before="240"/>
        <w:rPr>
          <w:b/>
        </w:rPr>
      </w:pPr>
    </w:p>
    <w:p w14:paraId="10A2D285" w14:textId="77777777" w:rsidR="00060973" w:rsidRDefault="00060973" w:rsidP="004F6FC3">
      <w:pPr>
        <w:pStyle w:val="MDPI62backmatter"/>
        <w:spacing w:before="240"/>
        <w:rPr>
          <w:b/>
        </w:rPr>
      </w:pPr>
    </w:p>
    <w:p w14:paraId="1809DA62" w14:textId="79E63D5A" w:rsidR="001C29E7" w:rsidRDefault="00F10E2D" w:rsidP="004F6FC3">
      <w:pPr>
        <w:pStyle w:val="MDPI62backmatter"/>
      </w:pPr>
      <w:r w:rsidRPr="003D585B">
        <w:rPr>
          <w:b/>
        </w:rPr>
        <w:t>Author Contributions:</w:t>
      </w:r>
      <w:r w:rsidRPr="003D585B">
        <w:t xml:space="preserve"> </w:t>
      </w:r>
      <w:r w:rsidR="00060973" w:rsidRPr="00060973">
        <w:t xml:space="preserve">Conceptualization, </w:t>
      </w:r>
      <w:r w:rsidR="00060973">
        <w:t xml:space="preserve">E.C, </w:t>
      </w:r>
      <w:r w:rsidR="00060973" w:rsidRPr="00060973">
        <w:t>B.Y.,</w:t>
      </w:r>
      <w:r w:rsidR="002E3EBC">
        <w:t xml:space="preserve"> R.A,</w:t>
      </w:r>
      <w:r w:rsidR="00060973" w:rsidRPr="00060973">
        <w:t xml:space="preserve">. and N.T.; methodology, </w:t>
      </w:r>
      <w:r w:rsidR="002E3EBC">
        <w:t>E</w:t>
      </w:r>
      <w:r w:rsidR="00060973" w:rsidRPr="00060973">
        <w:t>.</w:t>
      </w:r>
      <w:r w:rsidR="002E3EBC">
        <w:t>C</w:t>
      </w:r>
      <w:r w:rsidR="00060973" w:rsidRPr="00060973">
        <w:t xml:space="preserve">., </w:t>
      </w:r>
      <w:r w:rsidR="002E3EBC">
        <w:t>B.Y</w:t>
      </w:r>
      <w:r w:rsidR="00060973" w:rsidRPr="00060973">
        <w:t xml:space="preserve">. and </w:t>
      </w:r>
      <w:r w:rsidR="002E3EBC">
        <w:t>F.Ş</w:t>
      </w:r>
      <w:r w:rsidR="00060973" w:rsidRPr="00060973">
        <w:t xml:space="preserve">; validation, </w:t>
      </w:r>
      <w:r w:rsidR="002E3EBC">
        <w:t>E.C</w:t>
      </w:r>
      <w:r w:rsidR="00060973" w:rsidRPr="00060973">
        <w:t xml:space="preserve">. and </w:t>
      </w:r>
      <w:r w:rsidR="002E3EBC">
        <w:t>B.Y</w:t>
      </w:r>
      <w:r w:rsidR="00060973" w:rsidRPr="00060973">
        <w:t xml:space="preserve">.; formal analysis, </w:t>
      </w:r>
      <w:r w:rsidR="002E3EBC">
        <w:t>E.C</w:t>
      </w:r>
      <w:r w:rsidR="00060973" w:rsidRPr="00060973">
        <w:t xml:space="preserve"> and </w:t>
      </w:r>
      <w:r w:rsidR="002E3EBC">
        <w:t>B.Y</w:t>
      </w:r>
      <w:r w:rsidR="00060973" w:rsidRPr="00060973">
        <w:t xml:space="preserve">.; investigation, </w:t>
      </w:r>
      <w:r w:rsidR="002E3EBC">
        <w:t>E.C</w:t>
      </w:r>
      <w:r w:rsidR="00060973" w:rsidRPr="00060973">
        <w:t xml:space="preserve"> and </w:t>
      </w:r>
      <w:r w:rsidR="002E3EBC">
        <w:t>B.Y</w:t>
      </w:r>
      <w:r w:rsidR="00060973" w:rsidRPr="00060973">
        <w:t xml:space="preserve">.; data curation, </w:t>
      </w:r>
      <w:r w:rsidR="002E3EBC">
        <w:t>E.C</w:t>
      </w:r>
      <w:r w:rsidR="00060973" w:rsidRPr="00060973">
        <w:t xml:space="preserve"> and </w:t>
      </w:r>
      <w:r w:rsidR="002E3EBC">
        <w:t>E.C</w:t>
      </w:r>
      <w:r w:rsidR="00060973" w:rsidRPr="00060973">
        <w:t xml:space="preserve">.; writing—original draft preparation, </w:t>
      </w:r>
      <w:r w:rsidR="002E3EBC">
        <w:t>E.C</w:t>
      </w:r>
      <w:r w:rsidR="00060973" w:rsidRPr="00060973">
        <w:t xml:space="preserve">. and </w:t>
      </w:r>
      <w:r w:rsidR="002E3EBC">
        <w:t>B.Y</w:t>
      </w:r>
      <w:r w:rsidR="00060973" w:rsidRPr="00060973">
        <w:t xml:space="preserve">.; writing—review and editing, </w:t>
      </w:r>
      <w:r w:rsidR="002E3EBC">
        <w:t>E.C</w:t>
      </w:r>
      <w:r w:rsidR="00060973" w:rsidRPr="00060973">
        <w:t xml:space="preserve">., </w:t>
      </w:r>
      <w:r w:rsidR="002E3EBC">
        <w:t>B.Y</w:t>
      </w:r>
      <w:r w:rsidR="00060973" w:rsidRPr="00060973">
        <w:t xml:space="preserve">. and </w:t>
      </w:r>
      <w:r w:rsidR="002E3EBC">
        <w:t>F.Ş</w:t>
      </w:r>
      <w:r w:rsidR="00060973" w:rsidRPr="00060973">
        <w:t xml:space="preserve">. All authors have read and agreed to the published version of the manuscript. </w:t>
      </w:r>
      <w:r w:rsidR="00480A19">
        <w:t>E.C</w:t>
      </w:r>
      <w:r w:rsidR="00060973" w:rsidRPr="00060973">
        <w:t xml:space="preserve">., </w:t>
      </w:r>
      <w:r w:rsidR="00480A19">
        <w:t>B.Y</w:t>
      </w:r>
      <w:r w:rsidR="00060973" w:rsidRPr="00060973">
        <w:t xml:space="preserve">., and </w:t>
      </w:r>
      <w:r w:rsidR="00480A19">
        <w:t>F.Ş</w:t>
      </w:r>
      <w:r w:rsidR="00060973" w:rsidRPr="00060973">
        <w:t xml:space="preserve">. designed the study. </w:t>
      </w:r>
      <w:r w:rsidR="00480A19">
        <w:t>E.C, B.Y, R.A,</w:t>
      </w:r>
      <w:r w:rsidR="00060973" w:rsidRPr="00060973">
        <w:t xml:space="preserve"> and </w:t>
      </w:r>
      <w:r w:rsidR="002038D5">
        <w:t>F.Ş</w:t>
      </w:r>
      <w:r w:rsidR="00060973" w:rsidRPr="00060973">
        <w:t xml:space="preserve">. collected and analyzed the data. </w:t>
      </w:r>
      <w:r w:rsidR="002038D5">
        <w:t>E.C, B.Y, Ş.Y, R.A</w:t>
      </w:r>
      <w:r w:rsidR="001C29E7">
        <w:t>,</w:t>
      </w:r>
      <w:r w:rsidR="00060973" w:rsidRPr="00060973">
        <w:t xml:space="preserve"> and </w:t>
      </w:r>
      <w:r w:rsidR="001C29E7">
        <w:t>F.Ş.</w:t>
      </w:r>
      <w:r w:rsidR="00060973" w:rsidRPr="00060973">
        <w:t xml:space="preserve"> contributed to results interpretation and the manuscript preparation</w:t>
      </w:r>
    </w:p>
    <w:p w14:paraId="20C81E62" w14:textId="46C2F2D4" w:rsidR="00F10E2D" w:rsidRDefault="00F10E2D" w:rsidP="004F6FC3">
      <w:pPr>
        <w:pStyle w:val="MDPI62backmatter"/>
      </w:pPr>
      <w:r w:rsidRPr="003D585B">
        <w:rPr>
          <w:b/>
        </w:rPr>
        <w:t>Funding:</w:t>
      </w:r>
      <w:r w:rsidRPr="003D585B">
        <w:t xml:space="preserve"> This research received no external funding</w:t>
      </w:r>
      <w:r w:rsidR="00E31B46">
        <w:t>.</w:t>
      </w:r>
    </w:p>
    <w:p w14:paraId="147CD26E" w14:textId="77777777" w:rsidR="003D2726" w:rsidRPr="003D2726" w:rsidRDefault="003D2726" w:rsidP="003D2726">
      <w:pPr>
        <w:pStyle w:val="MDPI62backmatter"/>
      </w:pPr>
      <w:r w:rsidRPr="003D2726">
        <w:rPr>
          <w:b/>
        </w:rPr>
        <w:t>Data Availability Statement:</w:t>
      </w:r>
      <w:r w:rsidRPr="003D2726">
        <w:t xml:space="preserve"> The data used to support the findings of this study are available from the corresponding author upon request.</w:t>
      </w:r>
    </w:p>
    <w:p w14:paraId="1EF8180B" w14:textId="35074BFF" w:rsidR="00E31B46" w:rsidRDefault="003D2726" w:rsidP="003D2726">
      <w:pPr>
        <w:pStyle w:val="MDPI62backmatter"/>
      </w:pPr>
      <w:r w:rsidRPr="003D2726">
        <w:rPr>
          <w:b/>
        </w:rPr>
        <w:t>Conflicts of Interest:</w:t>
      </w:r>
      <w:r w:rsidRPr="003D2726">
        <w:t xml:space="preserve"> The authors declare no conflict of interests</w:t>
      </w:r>
    </w:p>
    <w:p w14:paraId="30CD185E" w14:textId="77777777" w:rsidR="00E31B46" w:rsidRDefault="00E31B46" w:rsidP="004F6FC3">
      <w:pPr>
        <w:pStyle w:val="MDPI62backmatter"/>
      </w:pPr>
    </w:p>
    <w:p w14:paraId="220A6032" w14:textId="77777777" w:rsidR="00E31B46" w:rsidRPr="003D585B" w:rsidRDefault="00E31B46" w:rsidP="004F6FC3">
      <w:pPr>
        <w:pStyle w:val="MDPI62backmatter"/>
      </w:pPr>
    </w:p>
    <w:p w14:paraId="5A0B63DB" w14:textId="77777777" w:rsidR="004F6FC3" w:rsidRPr="003D585B" w:rsidRDefault="004F6FC3" w:rsidP="004F6FC3">
      <w:pPr>
        <w:pStyle w:val="MDPI21heading1"/>
        <w:rPr>
          <w:szCs w:val="24"/>
        </w:rPr>
      </w:pPr>
      <w:bookmarkStart w:id="3" w:name="_Hlk181004646"/>
      <w:r w:rsidRPr="003D585B">
        <w:rPr>
          <w:szCs w:val="24"/>
        </w:rPr>
        <w:t>Abbreviations</w:t>
      </w:r>
    </w:p>
    <w:p w14:paraId="0202B582" w14:textId="77777777" w:rsidR="004F6FC3" w:rsidRPr="003D585B" w:rsidRDefault="004F6FC3" w:rsidP="004F6FC3">
      <w:pPr>
        <w:pStyle w:val="MDPI32textnoindent"/>
        <w:spacing w:after="240"/>
        <w:rPr>
          <w:sz w:val="18"/>
          <w:szCs w:val="18"/>
        </w:rPr>
      </w:pPr>
      <w:r w:rsidRPr="003D585B">
        <w:rPr>
          <w:sz w:val="18"/>
          <w:szCs w:val="18"/>
        </w:rPr>
        <w:t>The following abbreviations are used in this manuscript:</w:t>
      </w:r>
    </w:p>
    <w:tbl>
      <w:tblPr>
        <w:tblStyle w:val="TabloKlavuzu"/>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F6FC3" w:rsidRPr="003D585B" w14:paraId="5A30124D" w14:textId="77777777" w:rsidTr="000D20E3">
        <w:tc>
          <w:tcPr>
            <w:tcW w:w="936" w:type="dxa"/>
            <w:shd w:val="clear" w:color="auto" w:fill="auto"/>
            <w:vAlign w:val="center"/>
          </w:tcPr>
          <w:p w14:paraId="3CF9F3C0" w14:textId="31DC8CAA" w:rsidR="004F6FC3" w:rsidRPr="003D585B" w:rsidRDefault="003D2726" w:rsidP="000D20E3">
            <w:pPr>
              <w:pStyle w:val="MDPI42tablebody"/>
              <w:spacing w:line="240" w:lineRule="auto"/>
              <w:jc w:val="left"/>
              <w:rPr>
                <w:sz w:val="18"/>
                <w:szCs w:val="18"/>
              </w:rPr>
            </w:pPr>
            <w:r>
              <w:rPr>
                <w:sz w:val="18"/>
                <w:szCs w:val="18"/>
              </w:rPr>
              <w:t>GA</w:t>
            </w:r>
          </w:p>
        </w:tc>
        <w:tc>
          <w:tcPr>
            <w:tcW w:w="6921" w:type="dxa"/>
            <w:shd w:val="clear" w:color="auto" w:fill="auto"/>
            <w:vAlign w:val="center"/>
          </w:tcPr>
          <w:p w14:paraId="5C08D714" w14:textId="10F4A094" w:rsidR="004F6FC3" w:rsidRPr="003D585B" w:rsidRDefault="00800D1F" w:rsidP="000D20E3">
            <w:pPr>
              <w:pStyle w:val="MDPI42tablebody"/>
              <w:spacing w:line="240" w:lineRule="auto"/>
              <w:jc w:val="left"/>
              <w:rPr>
                <w:sz w:val="18"/>
                <w:szCs w:val="18"/>
              </w:rPr>
            </w:pPr>
            <w:r w:rsidRPr="00487134">
              <w:t>Gum Arabic</w:t>
            </w:r>
          </w:p>
        </w:tc>
      </w:tr>
      <w:tr w:rsidR="004F6FC3" w:rsidRPr="003D585B" w14:paraId="373559D8" w14:textId="77777777" w:rsidTr="000D20E3">
        <w:tc>
          <w:tcPr>
            <w:tcW w:w="936" w:type="dxa"/>
            <w:shd w:val="clear" w:color="auto" w:fill="auto"/>
            <w:vAlign w:val="center"/>
          </w:tcPr>
          <w:p w14:paraId="013AED5E" w14:textId="23ACFE94" w:rsidR="004F6FC3" w:rsidRPr="003D585B" w:rsidRDefault="00800D1F" w:rsidP="000D20E3">
            <w:pPr>
              <w:pStyle w:val="MDPI42tablebody"/>
              <w:spacing w:line="240" w:lineRule="auto"/>
              <w:jc w:val="left"/>
              <w:rPr>
                <w:sz w:val="18"/>
                <w:szCs w:val="18"/>
              </w:rPr>
            </w:pPr>
            <w:r>
              <w:rPr>
                <w:sz w:val="18"/>
                <w:szCs w:val="18"/>
              </w:rPr>
              <w:t>CRC</w:t>
            </w:r>
          </w:p>
        </w:tc>
        <w:tc>
          <w:tcPr>
            <w:tcW w:w="6921" w:type="dxa"/>
            <w:shd w:val="clear" w:color="auto" w:fill="auto"/>
            <w:vAlign w:val="center"/>
          </w:tcPr>
          <w:p w14:paraId="4CB0D703" w14:textId="5B55D199" w:rsidR="004F6FC3" w:rsidRPr="003D585B" w:rsidRDefault="00D37BD9" w:rsidP="000D20E3">
            <w:pPr>
              <w:pStyle w:val="MDPI42tablebody"/>
              <w:spacing w:line="240" w:lineRule="auto"/>
              <w:jc w:val="left"/>
              <w:rPr>
                <w:sz w:val="18"/>
                <w:szCs w:val="18"/>
              </w:rPr>
            </w:pPr>
            <w:r>
              <w:rPr>
                <w:sz w:val="18"/>
                <w:szCs w:val="18"/>
              </w:rPr>
              <w:t>Colorectal Cancer</w:t>
            </w:r>
          </w:p>
        </w:tc>
      </w:tr>
      <w:tr w:rsidR="004F6FC3" w:rsidRPr="003D585B" w14:paraId="709E9666" w14:textId="77777777" w:rsidTr="000D20E3">
        <w:tc>
          <w:tcPr>
            <w:tcW w:w="936" w:type="dxa"/>
            <w:shd w:val="clear" w:color="auto" w:fill="auto"/>
            <w:vAlign w:val="center"/>
          </w:tcPr>
          <w:p w14:paraId="14C48AEA" w14:textId="7A5EDF30" w:rsidR="004F6FC3" w:rsidRPr="003D585B" w:rsidRDefault="0035172C" w:rsidP="000D20E3">
            <w:pPr>
              <w:pStyle w:val="MDPI42tablebody"/>
              <w:spacing w:line="240" w:lineRule="auto"/>
              <w:jc w:val="left"/>
              <w:rPr>
                <w:sz w:val="18"/>
                <w:szCs w:val="18"/>
              </w:rPr>
            </w:pPr>
            <w:r>
              <w:rPr>
                <w:sz w:val="18"/>
                <w:szCs w:val="18"/>
              </w:rPr>
              <w:t>MTS</w:t>
            </w:r>
          </w:p>
        </w:tc>
        <w:tc>
          <w:tcPr>
            <w:tcW w:w="6921" w:type="dxa"/>
            <w:shd w:val="clear" w:color="auto" w:fill="auto"/>
            <w:vAlign w:val="center"/>
          </w:tcPr>
          <w:p w14:paraId="5311E582" w14:textId="04274314" w:rsidR="004F6FC3" w:rsidRPr="003D585B" w:rsidRDefault="007E39F1" w:rsidP="000D20E3">
            <w:pPr>
              <w:pStyle w:val="MDPI42tablebody"/>
              <w:spacing w:line="240" w:lineRule="auto"/>
              <w:jc w:val="left"/>
              <w:rPr>
                <w:sz w:val="18"/>
                <w:szCs w:val="18"/>
              </w:rPr>
            </w:pPr>
            <w:r w:rsidRPr="00925E07">
              <w:rPr>
                <w:rFonts w:ascii="Times New Roman" w:hAnsi="Times New Roman"/>
              </w:rPr>
              <w:t>3-(4,5-dimethyl-thiazol-2)-5-(3-carboxy-methoxy-phenyl)-2-(4-sulfo-phenyl)-2H-tetrazolium salt</w:t>
            </w:r>
          </w:p>
        </w:tc>
      </w:tr>
      <w:tr w:rsidR="004F6FC3" w:rsidRPr="003D585B" w14:paraId="7D026E22" w14:textId="77777777" w:rsidTr="000D20E3">
        <w:tc>
          <w:tcPr>
            <w:tcW w:w="936" w:type="dxa"/>
            <w:shd w:val="clear" w:color="auto" w:fill="auto"/>
            <w:vAlign w:val="center"/>
          </w:tcPr>
          <w:p w14:paraId="0EFCAFA8" w14:textId="6F9DD474" w:rsidR="004F6FC3" w:rsidRPr="003D585B" w:rsidRDefault="00BB0D4E" w:rsidP="000D20E3">
            <w:pPr>
              <w:pStyle w:val="MDPI42tablebody"/>
              <w:spacing w:line="240" w:lineRule="auto"/>
              <w:jc w:val="left"/>
              <w:rPr>
                <w:sz w:val="18"/>
                <w:szCs w:val="18"/>
              </w:rPr>
            </w:pPr>
            <w:r>
              <w:rPr>
                <w:sz w:val="18"/>
                <w:szCs w:val="18"/>
              </w:rPr>
              <w:t>PFA</w:t>
            </w:r>
          </w:p>
        </w:tc>
        <w:tc>
          <w:tcPr>
            <w:tcW w:w="6921" w:type="dxa"/>
            <w:shd w:val="clear" w:color="auto" w:fill="auto"/>
            <w:vAlign w:val="center"/>
          </w:tcPr>
          <w:p w14:paraId="0EEB8964" w14:textId="06E7AB15" w:rsidR="004F6FC3" w:rsidRPr="003D585B" w:rsidRDefault="00DB38E0" w:rsidP="000D20E3">
            <w:pPr>
              <w:pStyle w:val="MDPI42tablebody"/>
              <w:spacing w:line="240" w:lineRule="auto"/>
              <w:jc w:val="left"/>
              <w:rPr>
                <w:sz w:val="18"/>
                <w:szCs w:val="18"/>
              </w:rPr>
            </w:pPr>
            <w:r w:rsidRPr="00925E07">
              <w:rPr>
                <w:rFonts w:ascii="Times New Roman" w:hAnsi="Times New Roman"/>
                <w:highlight w:val="white"/>
              </w:rPr>
              <w:t>Paraformaldehyde</w:t>
            </w:r>
          </w:p>
        </w:tc>
      </w:tr>
      <w:tr w:rsidR="00DB38E0" w:rsidRPr="003D585B" w14:paraId="7C1D1E83" w14:textId="77777777" w:rsidTr="000D20E3">
        <w:tc>
          <w:tcPr>
            <w:tcW w:w="936" w:type="dxa"/>
            <w:shd w:val="clear" w:color="auto" w:fill="auto"/>
            <w:vAlign w:val="center"/>
          </w:tcPr>
          <w:p w14:paraId="27F07742" w14:textId="3D87A171" w:rsidR="00DB38E0" w:rsidRDefault="00E73334" w:rsidP="000D20E3">
            <w:pPr>
              <w:pStyle w:val="MDPI42tablebody"/>
              <w:spacing w:line="240" w:lineRule="auto"/>
              <w:jc w:val="left"/>
              <w:rPr>
                <w:sz w:val="18"/>
                <w:szCs w:val="18"/>
              </w:rPr>
            </w:pPr>
            <w:r>
              <w:rPr>
                <w:sz w:val="18"/>
                <w:szCs w:val="18"/>
              </w:rPr>
              <w:lastRenderedPageBreak/>
              <w:t>RPL30</w:t>
            </w:r>
          </w:p>
        </w:tc>
        <w:tc>
          <w:tcPr>
            <w:tcW w:w="6921" w:type="dxa"/>
            <w:shd w:val="clear" w:color="auto" w:fill="auto"/>
            <w:vAlign w:val="center"/>
          </w:tcPr>
          <w:p w14:paraId="4F1BE496" w14:textId="0F336279" w:rsidR="00DB38E0" w:rsidRPr="00925E07" w:rsidRDefault="00E73334" w:rsidP="000D20E3">
            <w:pPr>
              <w:pStyle w:val="MDPI42tablebody"/>
              <w:spacing w:line="240" w:lineRule="auto"/>
              <w:jc w:val="left"/>
              <w:rPr>
                <w:rFonts w:ascii="Times New Roman" w:hAnsi="Times New Roman"/>
                <w:highlight w:val="white"/>
              </w:rPr>
            </w:pPr>
            <w:r w:rsidRPr="00E73334">
              <w:rPr>
                <w:rFonts w:ascii="Times New Roman" w:hAnsi="Times New Roman"/>
                <w:highlight w:val="white"/>
              </w:rPr>
              <w:t>Ribosomal Protein L30</w:t>
            </w:r>
          </w:p>
        </w:tc>
      </w:tr>
      <w:tr w:rsidR="00DB38E0" w:rsidRPr="003D585B" w14:paraId="3EB7F316" w14:textId="77777777" w:rsidTr="000D20E3">
        <w:tc>
          <w:tcPr>
            <w:tcW w:w="936" w:type="dxa"/>
            <w:shd w:val="clear" w:color="auto" w:fill="auto"/>
            <w:vAlign w:val="center"/>
          </w:tcPr>
          <w:p w14:paraId="4EBF16A0" w14:textId="77777777" w:rsidR="00DB38E0" w:rsidRDefault="00DB38E0" w:rsidP="000D20E3">
            <w:pPr>
              <w:pStyle w:val="MDPI42tablebody"/>
              <w:spacing w:line="240" w:lineRule="auto"/>
              <w:jc w:val="left"/>
              <w:rPr>
                <w:sz w:val="18"/>
                <w:szCs w:val="18"/>
              </w:rPr>
            </w:pPr>
          </w:p>
        </w:tc>
        <w:tc>
          <w:tcPr>
            <w:tcW w:w="6921" w:type="dxa"/>
            <w:shd w:val="clear" w:color="auto" w:fill="auto"/>
            <w:vAlign w:val="center"/>
          </w:tcPr>
          <w:p w14:paraId="13D3C84D" w14:textId="77777777" w:rsidR="00DB38E0" w:rsidRPr="00925E07" w:rsidRDefault="00DB38E0" w:rsidP="000D20E3">
            <w:pPr>
              <w:pStyle w:val="MDPI42tablebody"/>
              <w:spacing w:line="240" w:lineRule="auto"/>
              <w:jc w:val="left"/>
              <w:rPr>
                <w:rFonts w:ascii="Times New Roman" w:hAnsi="Times New Roman"/>
                <w:highlight w:val="white"/>
              </w:rPr>
            </w:pPr>
          </w:p>
        </w:tc>
      </w:tr>
      <w:bookmarkEnd w:id="3"/>
    </w:tbl>
    <w:p w14:paraId="0DA6A605" w14:textId="77777777" w:rsidR="002A65AA" w:rsidRDefault="002A65AA" w:rsidP="004F6FC3">
      <w:pPr>
        <w:pStyle w:val="MDPI21heading1"/>
        <w:ind w:left="0"/>
      </w:pPr>
    </w:p>
    <w:p w14:paraId="2FD15076" w14:textId="77777777" w:rsidR="002A65AA" w:rsidRDefault="002A65AA" w:rsidP="004F6FC3">
      <w:pPr>
        <w:pStyle w:val="MDPI21heading1"/>
        <w:ind w:left="0"/>
      </w:pPr>
    </w:p>
    <w:p w14:paraId="40FA9F52" w14:textId="5C222D83" w:rsidR="00F10E2D" w:rsidRPr="003D585B" w:rsidRDefault="00F10E2D" w:rsidP="004F6FC3">
      <w:pPr>
        <w:pStyle w:val="MDPI21heading1"/>
        <w:ind w:left="0"/>
      </w:pPr>
      <w:r w:rsidRPr="003D585B">
        <w:t>References</w:t>
      </w:r>
    </w:p>
    <w:p w14:paraId="06920BA7" w14:textId="22A24A04" w:rsidR="00F01D5E" w:rsidRPr="00F01D5E" w:rsidRDefault="00F01D5E" w:rsidP="00F01D5E">
      <w:pPr>
        <w:pStyle w:val="MDPI63notes"/>
        <w:rPr>
          <w:b/>
        </w:rPr>
      </w:pPr>
      <w:r w:rsidRPr="0086779C">
        <w:rPr>
          <w:b/>
        </w:rPr>
        <w:t>[</w:t>
      </w:r>
      <w:r w:rsidRPr="00F01D5E">
        <w:rPr>
          <w:b/>
        </w:rPr>
        <w:t>1</w:t>
      </w:r>
      <w:r w:rsidRPr="0086779C">
        <w:rPr>
          <w:b/>
        </w:rPr>
        <w:t xml:space="preserve">] </w:t>
      </w:r>
      <w:r w:rsidRPr="00F01D5E">
        <w:rPr>
          <w:bCs/>
        </w:rPr>
        <w:t>Matsuda, T., Fujimoto, A., &amp; Igarashi, Y. (2025). Colorectal cancer: epidemiology, risk factors, and public health strategies. Digestion, 106(2), 91-99.</w:t>
      </w:r>
    </w:p>
    <w:p w14:paraId="2BD5B360" w14:textId="5800DB5B" w:rsidR="00F01D5E" w:rsidRPr="00F01D5E" w:rsidRDefault="00F01D5E" w:rsidP="00F01D5E">
      <w:pPr>
        <w:pStyle w:val="MDPI63notes"/>
        <w:rPr>
          <w:b/>
        </w:rPr>
      </w:pPr>
      <w:r w:rsidRPr="0086779C">
        <w:rPr>
          <w:b/>
        </w:rPr>
        <w:t>[</w:t>
      </w:r>
      <w:r w:rsidRPr="00F01D5E">
        <w:rPr>
          <w:b/>
        </w:rPr>
        <w:t>2</w:t>
      </w:r>
      <w:r w:rsidRPr="0086779C">
        <w:rPr>
          <w:b/>
        </w:rPr>
        <w:t>]</w:t>
      </w:r>
      <w:r w:rsidRPr="00F01D5E">
        <w:rPr>
          <w:b/>
        </w:rPr>
        <w:t xml:space="preserve"> </w:t>
      </w:r>
      <w:r w:rsidRPr="0086779C">
        <w:rPr>
          <w:bCs/>
        </w:rPr>
        <w:t>Bray, F., Laversanne, M., Sung, H., Ferlay, J., Siegel, R. L., Soerjomataram, I., &amp; Jemal, A. (2024). Global cancer statistics 2022: GLOBOCAN estimates of incidence and mortality worldwide for 36 cancers in 185 countries. </w:t>
      </w:r>
      <w:r w:rsidRPr="0086779C">
        <w:rPr>
          <w:bCs/>
          <w:i/>
          <w:iCs/>
        </w:rPr>
        <w:t>CA: a cancer journal for clinicians</w:t>
      </w:r>
      <w:r w:rsidRPr="0086779C">
        <w:rPr>
          <w:bCs/>
        </w:rPr>
        <w:t>, </w:t>
      </w:r>
      <w:r w:rsidRPr="0086779C">
        <w:rPr>
          <w:bCs/>
          <w:i/>
          <w:iCs/>
        </w:rPr>
        <w:t>74</w:t>
      </w:r>
      <w:r w:rsidRPr="0086779C">
        <w:rPr>
          <w:bCs/>
        </w:rPr>
        <w:t>(3), 229-263.</w:t>
      </w:r>
    </w:p>
    <w:p w14:paraId="404F3C12" w14:textId="6495B6FD" w:rsidR="00F01D5E" w:rsidRPr="00F01D5E" w:rsidRDefault="00F01D5E" w:rsidP="00F01D5E">
      <w:pPr>
        <w:pStyle w:val="MDPI63notes"/>
        <w:rPr>
          <w:b/>
        </w:rPr>
      </w:pPr>
      <w:r w:rsidRPr="0086779C">
        <w:rPr>
          <w:b/>
        </w:rPr>
        <w:t>[</w:t>
      </w:r>
      <w:r w:rsidRPr="00F01D5E">
        <w:rPr>
          <w:b/>
        </w:rPr>
        <w:t>3</w:t>
      </w:r>
      <w:r w:rsidRPr="0086779C">
        <w:rPr>
          <w:b/>
        </w:rPr>
        <w:t>]</w:t>
      </w:r>
      <w:r w:rsidRPr="00F01D5E">
        <w:rPr>
          <w:b/>
        </w:rPr>
        <w:t xml:space="preserve"> </w:t>
      </w:r>
      <w:r w:rsidRPr="0086779C">
        <w:rPr>
          <w:bCs/>
        </w:rPr>
        <w:t>Fadlallah, H., El Masri, J., Fakhereddine, H., Youssef, J., Chemaly, C., Doughan, S., &amp; Abou-Kheir, W. (2024). Colorectal cancer: Recent advances in management and treatment. </w:t>
      </w:r>
      <w:r w:rsidRPr="0086779C">
        <w:rPr>
          <w:bCs/>
          <w:i/>
          <w:iCs/>
        </w:rPr>
        <w:t>World journal of clinical oncology</w:t>
      </w:r>
      <w:r w:rsidRPr="0086779C">
        <w:rPr>
          <w:bCs/>
        </w:rPr>
        <w:t>, </w:t>
      </w:r>
      <w:r w:rsidRPr="0086779C">
        <w:rPr>
          <w:bCs/>
          <w:i/>
          <w:iCs/>
        </w:rPr>
        <w:t>15</w:t>
      </w:r>
      <w:r w:rsidRPr="0086779C">
        <w:rPr>
          <w:bCs/>
        </w:rPr>
        <w:t>(9), 1136.</w:t>
      </w:r>
    </w:p>
    <w:p w14:paraId="3AC06258" w14:textId="76A862B4" w:rsidR="00F01D5E" w:rsidRPr="00F01D5E" w:rsidRDefault="00F01D5E" w:rsidP="00F01D5E">
      <w:pPr>
        <w:pStyle w:val="MDPI63notes"/>
        <w:rPr>
          <w:bCs/>
        </w:rPr>
      </w:pPr>
      <w:r w:rsidRPr="0086779C">
        <w:rPr>
          <w:b/>
        </w:rPr>
        <w:t>[</w:t>
      </w:r>
      <w:r w:rsidRPr="00F01D5E">
        <w:rPr>
          <w:b/>
        </w:rPr>
        <w:t>4</w:t>
      </w:r>
      <w:r w:rsidRPr="0086779C">
        <w:rPr>
          <w:b/>
        </w:rPr>
        <w:t>]</w:t>
      </w:r>
      <w:r w:rsidRPr="00F01D5E">
        <w:rPr>
          <w:b/>
        </w:rPr>
        <w:t xml:space="preserve"> </w:t>
      </w:r>
      <w:r w:rsidRPr="00F01D5E">
        <w:rPr>
          <w:bCs/>
        </w:rPr>
        <w:t>Qi, G. X., Zhao, R. X., Gao, C., Ma, Z. Y., Wang, S., &amp; Xu, J. (2025). Recent advances and challenges in colorectal cancer: From molecular research to treatment. World Journal of Gastroenterology, 31(21), 106964</w:t>
      </w:r>
    </w:p>
    <w:p w14:paraId="0189A1B7" w14:textId="72CD4D47" w:rsidR="00F01D5E" w:rsidRPr="00F01D5E" w:rsidRDefault="00F01D5E" w:rsidP="00F01D5E">
      <w:pPr>
        <w:pStyle w:val="MDPI63notes"/>
        <w:rPr>
          <w:b/>
        </w:rPr>
      </w:pPr>
      <w:r w:rsidRPr="0086779C">
        <w:rPr>
          <w:b/>
        </w:rPr>
        <w:t>[</w:t>
      </w:r>
      <w:r w:rsidRPr="00F01D5E">
        <w:rPr>
          <w:b/>
        </w:rPr>
        <w:t>5</w:t>
      </w:r>
      <w:r w:rsidRPr="0086779C">
        <w:rPr>
          <w:b/>
        </w:rPr>
        <w:t xml:space="preserve">] </w:t>
      </w:r>
      <w:r w:rsidRPr="0086779C">
        <w:rPr>
          <w:bCs/>
        </w:rPr>
        <w:t>Advani, S. M., Advani, P., DeSantis, S. M., Brown, D., VonVille, H. M., Lam, M., ... &amp; Kopetz, S. (2018). Clinical, pathological, and molecular characteristics of CpG island methylator phenotype in colorectal cancer: a systematic review and meta-analysis. </w:t>
      </w:r>
      <w:r w:rsidRPr="0086779C">
        <w:rPr>
          <w:bCs/>
          <w:i/>
          <w:iCs/>
        </w:rPr>
        <w:t>Translational oncology</w:t>
      </w:r>
      <w:r w:rsidRPr="0086779C">
        <w:rPr>
          <w:bCs/>
        </w:rPr>
        <w:t>, </w:t>
      </w:r>
      <w:r w:rsidRPr="0086779C">
        <w:rPr>
          <w:bCs/>
          <w:i/>
          <w:iCs/>
        </w:rPr>
        <w:t>11</w:t>
      </w:r>
      <w:r w:rsidRPr="0086779C">
        <w:rPr>
          <w:bCs/>
        </w:rPr>
        <w:t>(5), 1188-1201</w:t>
      </w:r>
      <w:r w:rsidRPr="0086779C">
        <w:rPr>
          <w:b/>
        </w:rPr>
        <w:t>.</w:t>
      </w:r>
    </w:p>
    <w:p w14:paraId="180D917F" w14:textId="51D71399" w:rsidR="00F01D5E" w:rsidRPr="00F01D5E" w:rsidRDefault="00F01D5E" w:rsidP="00F01D5E">
      <w:pPr>
        <w:pStyle w:val="MDPI63notes"/>
        <w:rPr>
          <w:b/>
        </w:rPr>
      </w:pPr>
      <w:r w:rsidRPr="0086779C">
        <w:rPr>
          <w:b/>
        </w:rPr>
        <w:t>[</w:t>
      </w:r>
      <w:r w:rsidRPr="00F01D5E">
        <w:rPr>
          <w:b/>
        </w:rPr>
        <w:t>6</w:t>
      </w:r>
      <w:r w:rsidRPr="0086779C">
        <w:rPr>
          <w:b/>
        </w:rPr>
        <w:t>]</w:t>
      </w:r>
      <w:r w:rsidRPr="00F01D5E">
        <w:rPr>
          <w:b/>
        </w:rPr>
        <w:t xml:space="preserve"> </w:t>
      </w:r>
      <w:r w:rsidRPr="0086779C">
        <w:rPr>
          <w:bCs/>
        </w:rPr>
        <w:t>Zoetemelk, M., Ramzy, G. M., Rausch, M., &amp; Nowak-Sliwinska, P. (2020). Drug-drug interactions of irinotecan, 5-fluorouracil, folinic acid and oxaliplatin and its activity in colorectal carcinoma treatment. </w:t>
      </w:r>
      <w:r w:rsidRPr="0086779C">
        <w:rPr>
          <w:bCs/>
          <w:i/>
          <w:iCs/>
        </w:rPr>
        <w:t>Molecules</w:t>
      </w:r>
      <w:r w:rsidRPr="0086779C">
        <w:rPr>
          <w:bCs/>
        </w:rPr>
        <w:t>, </w:t>
      </w:r>
      <w:r w:rsidRPr="0086779C">
        <w:rPr>
          <w:bCs/>
          <w:i/>
          <w:iCs/>
        </w:rPr>
        <w:t>25</w:t>
      </w:r>
      <w:r w:rsidRPr="0086779C">
        <w:rPr>
          <w:bCs/>
        </w:rPr>
        <w:t>(11), 2614.</w:t>
      </w:r>
    </w:p>
    <w:p w14:paraId="06B5E8D4" w14:textId="7B266170" w:rsidR="00F01D5E" w:rsidRPr="00F01D5E" w:rsidRDefault="00F01D5E" w:rsidP="00F01D5E">
      <w:pPr>
        <w:pStyle w:val="MDPI63notes"/>
        <w:rPr>
          <w:bCs/>
        </w:rPr>
      </w:pPr>
      <w:r w:rsidRPr="0086779C">
        <w:rPr>
          <w:b/>
        </w:rPr>
        <w:t>[</w:t>
      </w:r>
      <w:r w:rsidRPr="00F01D5E">
        <w:rPr>
          <w:b/>
        </w:rPr>
        <w:t>7</w:t>
      </w:r>
      <w:r w:rsidRPr="0086779C">
        <w:rPr>
          <w:b/>
        </w:rPr>
        <w:t>]</w:t>
      </w:r>
      <w:r w:rsidRPr="00F01D5E">
        <w:rPr>
          <w:b/>
        </w:rPr>
        <w:t xml:space="preserve"> </w:t>
      </w:r>
      <w:r w:rsidRPr="0086779C">
        <w:rPr>
          <w:bCs/>
        </w:rPr>
        <w:t>Newman, D. J., &amp; Cragg, G. M. (2020). Natural products as sources of new drugs over the nearly four decades from 01/1981 to 09/2019. Journal of natural products, 83(3), 770-803.</w:t>
      </w:r>
    </w:p>
    <w:p w14:paraId="411B6C78" w14:textId="4120CE85" w:rsidR="00F01D5E" w:rsidRPr="00F01D5E" w:rsidRDefault="00601A14" w:rsidP="00F01D5E">
      <w:pPr>
        <w:pStyle w:val="MDPI63notes"/>
        <w:rPr>
          <w:b/>
        </w:rPr>
      </w:pPr>
      <w:r w:rsidRPr="0086779C">
        <w:rPr>
          <w:b/>
        </w:rPr>
        <w:t>[</w:t>
      </w:r>
      <w:r w:rsidR="00F01D5E" w:rsidRPr="00F01D5E">
        <w:rPr>
          <w:b/>
        </w:rPr>
        <w:t>8</w:t>
      </w:r>
      <w:r w:rsidRPr="0086779C">
        <w:rPr>
          <w:b/>
        </w:rPr>
        <w:t>]</w:t>
      </w:r>
      <w:r w:rsidR="00F01D5E" w:rsidRPr="00F01D5E">
        <w:rPr>
          <w:b/>
        </w:rPr>
        <w:t xml:space="preserve"> </w:t>
      </w:r>
      <w:r w:rsidRPr="0086779C">
        <w:rPr>
          <w:bCs/>
        </w:rPr>
        <w:t>Mungwari, C. P., King'ondu, C. K., Sigauke, P., &amp; Obadele, B. A. (2025). Conventional and modern techniques for bioactive compounds recovery from plants. </w:t>
      </w:r>
      <w:r w:rsidRPr="0086779C">
        <w:rPr>
          <w:bCs/>
          <w:i/>
          <w:iCs/>
        </w:rPr>
        <w:t>Scientific African</w:t>
      </w:r>
      <w:r w:rsidRPr="0086779C">
        <w:rPr>
          <w:bCs/>
        </w:rPr>
        <w:t>, </w:t>
      </w:r>
      <w:r w:rsidRPr="0086779C">
        <w:rPr>
          <w:bCs/>
          <w:i/>
          <w:iCs/>
        </w:rPr>
        <w:t>27</w:t>
      </w:r>
      <w:r w:rsidRPr="0086779C">
        <w:rPr>
          <w:bCs/>
        </w:rPr>
        <w:t>, e02509.</w:t>
      </w:r>
    </w:p>
    <w:p w14:paraId="541D0179" w14:textId="29D11F64" w:rsidR="00F01D5E" w:rsidRPr="00F01D5E" w:rsidRDefault="00601A14" w:rsidP="00F01D5E">
      <w:pPr>
        <w:pStyle w:val="MDPI63notes"/>
        <w:rPr>
          <w:bCs/>
        </w:rPr>
      </w:pPr>
      <w:r w:rsidRPr="0086779C">
        <w:rPr>
          <w:b/>
        </w:rPr>
        <w:t>[</w:t>
      </w:r>
      <w:r w:rsidR="00F01D5E" w:rsidRPr="00F01D5E">
        <w:rPr>
          <w:b/>
        </w:rPr>
        <w:t>9</w:t>
      </w:r>
      <w:r w:rsidRPr="0086779C">
        <w:rPr>
          <w:b/>
        </w:rPr>
        <w:t>]</w:t>
      </w:r>
      <w:r w:rsidR="00F01D5E" w:rsidRPr="00F01D5E">
        <w:rPr>
          <w:b/>
        </w:rPr>
        <w:t xml:space="preserve"> </w:t>
      </w:r>
      <w:r w:rsidRPr="0086779C">
        <w:rPr>
          <w:bCs/>
        </w:rPr>
        <w:t>Sanjai, C., Gaonkar, S. L., &amp; Hakkimane, S. S. (2024). Harnessing nature’s toolbox: Naturally derived bioactive compounds in nanotechnology enhanced formulations. </w:t>
      </w:r>
      <w:r w:rsidRPr="0086779C">
        <w:rPr>
          <w:bCs/>
          <w:i/>
          <w:iCs/>
        </w:rPr>
        <w:t>ACS omega</w:t>
      </w:r>
      <w:r w:rsidRPr="0086779C">
        <w:rPr>
          <w:bCs/>
        </w:rPr>
        <w:t>, </w:t>
      </w:r>
      <w:r w:rsidRPr="0086779C">
        <w:rPr>
          <w:bCs/>
          <w:i/>
          <w:iCs/>
        </w:rPr>
        <w:t>9</w:t>
      </w:r>
      <w:r w:rsidRPr="0086779C">
        <w:rPr>
          <w:bCs/>
        </w:rPr>
        <w:t>(43), 43302-43318.</w:t>
      </w:r>
    </w:p>
    <w:p w14:paraId="42C11551" w14:textId="763F8D1C" w:rsidR="00F01D5E" w:rsidRPr="00F01D5E" w:rsidRDefault="00601A14" w:rsidP="00F01D5E">
      <w:pPr>
        <w:pStyle w:val="MDPI63notes"/>
        <w:rPr>
          <w:b/>
        </w:rPr>
      </w:pPr>
      <w:r w:rsidRPr="0086779C">
        <w:rPr>
          <w:b/>
        </w:rPr>
        <w:t>[</w:t>
      </w:r>
      <w:r w:rsidR="00F01D5E" w:rsidRPr="00F01D5E">
        <w:rPr>
          <w:b/>
        </w:rPr>
        <w:t>10</w:t>
      </w:r>
      <w:r w:rsidRPr="0086779C">
        <w:rPr>
          <w:b/>
        </w:rPr>
        <w:t>]</w:t>
      </w:r>
      <w:r w:rsidR="00F01D5E" w:rsidRPr="00F01D5E">
        <w:rPr>
          <w:b/>
        </w:rPr>
        <w:t xml:space="preserve"> </w:t>
      </w:r>
      <w:r w:rsidRPr="0086779C">
        <w:rPr>
          <w:bCs/>
        </w:rPr>
        <w:t>Atanasov, A. G., Waltenberger, B., Pferschy-Wenzig, E. M., Linder, T., Wawrosch, C., Uhrin, P., ... &amp; Stuppner, H. (2015). Discovery and resupply of pharmacologically active plant-derived natural products: A review. </w:t>
      </w:r>
      <w:r w:rsidRPr="0086779C">
        <w:rPr>
          <w:bCs/>
          <w:i/>
          <w:iCs/>
        </w:rPr>
        <w:t>Biotechnology advances</w:t>
      </w:r>
      <w:r w:rsidRPr="0086779C">
        <w:rPr>
          <w:bCs/>
        </w:rPr>
        <w:t>, </w:t>
      </w:r>
      <w:r w:rsidRPr="0086779C">
        <w:rPr>
          <w:bCs/>
          <w:i/>
          <w:iCs/>
        </w:rPr>
        <w:t>33</w:t>
      </w:r>
      <w:r w:rsidRPr="0086779C">
        <w:rPr>
          <w:bCs/>
        </w:rPr>
        <w:t>(8), 1582-1614.</w:t>
      </w:r>
    </w:p>
    <w:p w14:paraId="045B8F95" w14:textId="12A842E2" w:rsidR="00F01D5E" w:rsidRPr="00F01D5E" w:rsidRDefault="00601A14" w:rsidP="00F01D5E">
      <w:pPr>
        <w:pStyle w:val="MDPI63notes"/>
        <w:rPr>
          <w:b/>
        </w:rPr>
      </w:pPr>
      <w:r w:rsidRPr="0086779C">
        <w:rPr>
          <w:b/>
        </w:rPr>
        <w:t>[</w:t>
      </w:r>
      <w:r w:rsidR="00F01D5E" w:rsidRPr="00F01D5E">
        <w:rPr>
          <w:b/>
        </w:rPr>
        <w:t>11</w:t>
      </w:r>
      <w:r w:rsidRPr="0086779C">
        <w:rPr>
          <w:b/>
        </w:rPr>
        <w:t>]</w:t>
      </w:r>
      <w:r w:rsidR="00F01D5E" w:rsidRPr="00F01D5E">
        <w:rPr>
          <w:b/>
        </w:rPr>
        <w:t xml:space="preserve"> </w:t>
      </w:r>
      <w:r w:rsidRPr="0086779C">
        <w:rPr>
          <w:bCs/>
        </w:rPr>
        <w:t>Kundu, B., Reis, R. L., &amp; Kundu, S. C. (2021). Polysaccharides in cancer therapy. In </w:t>
      </w:r>
      <w:r w:rsidRPr="0086779C">
        <w:rPr>
          <w:bCs/>
          <w:i/>
          <w:iCs/>
        </w:rPr>
        <w:t>Polysaccharides of Microbial Origin: Biomedical Applications</w:t>
      </w:r>
      <w:r w:rsidRPr="0086779C">
        <w:rPr>
          <w:bCs/>
        </w:rPr>
        <w:t> (pp. 1-21). Cham: Springer International Publishing.</w:t>
      </w:r>
      <w:r w:rsidR="00F01D5E" w:rsidRPr="00F01D5E">
        <w:rPr>
          <w:bCs/>
        </w:rPr>
        <w:t>.</w:t>
      </w:r>
    </w:p>
    <w:p w14:paraId="032FEFB0" w14:textId="2F929C23" w:rsidR="00601A14" w:rsidRPr="00F01D5E" w:rsidRDefault="00601A14" w:rsidP="00F01D5E">
      <w:pPr>
        <w:pStyle w:val="MDPI63notes"/>
        <w:rPr>
          <w:bCs/>
        </w:rPr>
      </w:pPr>
      <w:r w:rsidRPr="0086779C">
        <w:rPr>
          <w:b/>
        </w:rPr>
        <w:t>[</w:t>
      </w:r>
      <w:r w:rsidR="00F01D5E" w:rsidRPr="00F01D5E">
        <w:rPr>
          <w:b/>
        </w:rPr>
        <w:t>12</w:t>
      </w:r>
      <w:r w:rsidRPr="0086779C">
        <w:rPr>
          <w:b/>
        </w:rPr>
        <w:t>]</w:t>
      </w:r>
      <w:r w:rsidR="00F01D5E" w:rsidRPr="00F01D5E">
        <w:rPr>
          <w:b/>
        </w:rPr>
        <w:t xml:space="preserve"> </w:t>
      </w:r>
      <w:r w:rsidRPr="0086779C">
        <w:rPr>
          <w:bCs/>
        </w:rPr>
        <w:t>Murphy, E. J., Fehrenbach, G. W., Abidin, I. Z., Buckley, C., Montgomery, T., Pogue, R., ... &amp; Rezoagli, E. (2023). Polysaccharides—Naturally occurring immune modulators. </w:t>
      </w:r>
      <w:r w:rsidRPr="0086779C">
        <w:rPr>
          <w:bCs/>
          <w:i/>
          <w:iCs/>
        </w:rPr>
        <w:t>Polymers</w:t>
      </w:r>
      <w:r w:rsidRPr="0086779C">
        <w:rPr>
          <w:bCs/>
        </w:rPr>
        <w:t>, </w:t>
      </w:r>
      <w:r w:rsidRPr="0086779C">
        <w:rPr>
          <w:bCs/>
          <w:i/>
          <w:iCs/>
        </w:rPr>
        <w:t>15</w:t>
      </w:r>
      <w:r w:rsidRPr="0086779C">
        <w:rPr>
          <w:bCs/>
        </w:rPr>
        <w:t>(10), 2373.</w:t>
      </w:r>
    </w:p>
    <w:p w14:paraId="606EF1B1" w14:textId="391C62A9" w:rsidR="00F01D5E" w:rsidRPr="0086779C" w:rsidRDefault="00601A14" w:rsidP="00F01D5E">
      <w:pPr>
        <w:pStyle w:val="MDPI63notes"/>
        <w:rPr>
          <w:bCs/>
        </w:rPr>
      </w:pPr>
      <w:r w:rsidRPr="0086779C">
        <w:rPr>
          <w:b/>
        </w:rPr>
        <w:t>[</w:t>
      </w:r>
      <w:r w:rsidR="00F01D5E" w:rsidRPr="00F01D5E">
        <w:rPr>
          <w:b/>
        </w:rPr>
        <w:t>13</w:t>
      </w:r>
      <w:r w:rsidRPr="0086779C">
        <w:rPr>
          <w:b/>
        </w:rPr>
        <w:t>]</w:t>
      </w:r>
      <w:r w:rsidR="00F01D5E" w:rsidRPr="00F01D5E">
        <w:rPr>
          <w:b/>
        </w:rPr>
        <w:t xml:space="preserve"> </w:t>
      </w:r>
      <w:r w:rsidRPr="0086779C">
        <w:rPr>
          <w:bCs/>
        </w:rPr>
        <w:t>Mohamed, S. A., Elsherbini, A. M., Alrefaey, H. R., Adelrahman, K., Moustafa, A., Egodawaththa, N. M., ... &amp; Sabra, S. A. (2025). Gum Arabic: a commodity with versatile formulations and applications. </w:t>
      </w:r>
      <w:r w:rsidRPr="0086779C">
        <w:rPr>
          <w:bCs/>
          <w:i/>
          <w:iCs/>
        </w:rPr>
        <w:t>Nanomaterials</w:t>
      </w:r>
      <w:r w:rsidRPr="0086779C">
        <w:rPr>
          <w:bCs/>
        </w:rPr>
        <w:t>, </w:t>
      </w:r>
      <w:r w:rsidRPr="0086779C">
        <w:rPr>
          <w:bCs/>
          <w:i/>
          <w:iCs/>
        </w:rPr>
        <w:t>15</w:t>
      </w:r>
      <w:r w:rsidRPr="0086779C">
        <w:rPr>
          <w:bCs/>
        </w:rPr>
        <w:t>(4), 290.</w:t>
      </w:r>
    </w:p>
    <w:p w14:paraId="2854F1BE" w14:textId="357AC3C7" w:rsidR="00601A14" w:rsidRPr="0086779C" w:rsidRDefault="00601A14" w:rsidP="00F01D5E">
      <w:pPr>
        <w:pStyle w:val="MDPI63notes"/>
        <w:rPr>
          <w:b/>
        </w:rPr>
      </w:pPr>
    </w:p>
    <w:p w14:paraId="41B575CC" w14:textId="77777777" w:rsidR="00601A14" w:rsidRPr="00F01D5E" w:rsidRDefault="00601A14" w:rsidP="00F01D5E">
      <w:pPr>
        <w:pStyle w:val="MDPI63notes"/>
        <w:rPr>
          <w:b/>
        </w:rPr>
      </w:pPr>
    </w:p>
    <w:p w14:paraId="1B3B0B30" w14:textId="29146C47" w:rsidR="00F01D5E" w:rsidRPr="00F01D5E" w:rsidRDefault="00601A14" w:rsidP="00F01D5E">
      <w:pPr>
        <w:pStyle w:val="MDPI63notes"/>
        <w:rPr>
          <w:b/>
        </w:rPr>
      </w:pPr>
      <w:r w:rsidRPr="0086779C">
        <w:rPr>
          <w:b/>
        </w:rPr>
        <w:lastRenderedPageBreak/>
        <w:t>[</w:t>
      </w:r>
      <w:r w:rsidR="00F01D5E" w:rsidRPr="00F01D5E">
        <w:rPr>
          <w:b/>
        </w:rPr>
        <w:t>14</w:t>
      </w:r>
      <w:r w:rsidRPr="0086779C">
        <w:rPr>
          <w:b/>
        </w:rPr>
        <w:t>]</w:t>
      </w:r>
      <w:r w:rsidR="00F01D5E" w:rsidRPr="00F01D5E">
        <w:rPr>
          <w:b/>
        </w:rPr>
        <w:t xml:space="preserve"> </w:t>
      </w:r>
      <w:r w:rsidRPr="0086779C">
        <w:rPr>
          <w:b/>
        </w:rPr>
        <w:t>Ahmed, A. A. (2018). Health benefits of gum arabic and medical use. </w:t>
      </w:r>
      <w:r w:rsidRPr="0086779C">
        <w:rPr>
          <w:b/>
          <w:i/>
          <w:iCs/>
        </w:rPr>
        <w:t>Gum Arabic</w:t>
      </w:r>
      <w:r w:rsidRPr="0086779C">
        <w:rPr>
          <w:b/>
        </w:rPr>
        <w:t>, 183-210.</w:t>
      </w:r>
    </w:p>
    <w:p w14:paraId="1820DD8A" w14:textId="2B275050" w:rsidR="00601A14" w:rsidRPr="00F01D5E" w:rsidRDefault="00601A14" w:rsidP="00F01D5E">
      <w:pPr>
        <w:pStyle w:val="MDPI63notes"/>
        <w:rPr>
          <w:b/>
        </w:rPr>
      </w:pPr>
      <w:r w:rsidRPr="0086779C">
        <w:rPr>
          <w:b/>
        </w:rPr>
        <w:t>[</w:t>
      </w:r>
      <w:r w:rsidR="00F01D5E" w:rsidRPr="00F01D5E">
        <w:rPr>
          <w:b/>
        </w:rPr>
        <w:t>15</w:t>
      </w:r>
      <w:r w:rsidRPr="0086779C">
        <w:rPr>
          <w:b/>
        </w:rPr>
        <w:t>]</w:t>
      </w:r>
      <w:r w:rsidR="00F01D5E" w:rsidRPr="00F01D5E">
        <w:rPr>
          <w:b/>
        </w:rPr>
        <w:t xml:space="preserve"> </w:t>
      </w:r>
      <w:r w:rsidRPr="0086779C">
        <w:rPr>
          <w:bCs/>
        </w:rPr>
        <w:t>Kamal, E., Kaddam, L. A., Dahawi, M., Osman, M., Salih, M. A., Alagib, A., &amp; Saeed, A. (2018). Gum arabic fibers decreased inflammatory markers and disease severity score among rheumatoid arthritis patients, phase II trial. </w:t>
      </w:r>
      <w:r w:rsidRPr="0086779C">
        <w:rPr>
          <w:bCs/>
          <w:i/>
          <w:iCs/>
        </w:rPr>
        <w:t>International journal of rheumatology</w:t>
      </w:r>
      <w:r w:rsidRPr="0086779C">
        <w:rPr>
          <w:bCs/>
        </w:rPr>
        <w:t>, </w:t>
      </w:r>
      <w:r w:rsidRPr="0086779C">
        <w:rPr>
          <w:bCs/>
          <w:i/>
          <w:iCs/>
        </w:rPr>
        <w:t>2018</w:t>
      </w:r>
      <w:r w:rsidRPr="0086779C">
        <w:rPr>
          <w:bCs/>
        </w:rPr>
        <w:t>(1), 4197537.</w:t>
      </w:r>
    </w:p>
    <w:p w14:paraId="1654304C" w14:textId="6951EA40" w:rsidR="00F01D5E" w:rsidRPr="00F01D5E" w:rsidRDefault="00601A14" w:rsidP="00F01D5E">
      <w:pPr>
        <w:pStyle w:val="MDPI63notes"/>
        <w:rPr>
          <w:b/>
        </w:rPr>
      </w:pPr>
      <w:r w:rsidRPr="0086779C">
        <w:rPr>
          <w:b/>
        </w:rPr>
        <w:t>[</w:t>
      </w:r>
      <w:r w:rsidR="00F01D5E" w:rsidRPr="00F01D5E">
        <w:rPr>
          <w:b/>
        </w:rPr>
        <w:t>16</w:t>
      </w:r>
      <w:r w:rsidRPr="0086779C">
        <w:rPr>
          <w:b/>
        </w:rPr>
        <w:t>]</w:t>
      </w:r>
      <w:r w:rsidR="00F01D5E" w:rsidRPr="00F01D5E">
        <w:rPr>
          <w:b/>
        </w:rPr>
        <w:t xml:space="preserve"> </w:t>
      </w:r>
      <w:r w:rsidRPr="0086779C">
        <w:rPr>
          <w:bCs/>
        </w:rPr>
        <w:t>Al-Jubori, Y., Ahmed, N. T. B., Albusaidi, R., Madden, J., Das, S., &amp; Sirasanagandla, S. R. (2023). The efficacy of gum Arabic in managing diseases: A systematic review of evidence-based clinical trials. </w:t>
      </w:r>
      <w:r w:rsidRPr="0086779C">
        <w:rPr>
          <w:bCs/>
          <w:i/>
          <w:iCs/>
        </w:rPr>
        <w:t>Biomolecules</w:t>
      </w:r>
      <w:r w:rsidRPr="0086779C">
        <w:rPr>
          <w:bCs/>
        </w:rPr>
        <w:t>, </w:t>
      </w:r>
      <w:r w:rsidRPr="0086779C">
        <w:rPr>
          <w:bCs/>
          <w:i/>
          <w:iCs/>
        </w:rPr>
        <w:t>13</w:t>
      </w:r>
      <w:r w:rsidRPr="0086779C">
        <w:rPr>
          <w:bCs/>
        </w:rPr>
        <w:t>(1), 138.</w:t>
      </w:r>
    </w:p>
    <w:p w14:paraId="1BA5B0E6" w14:textId="26DDFECC" w:rsidR="00601A14" w:rsidRPr="00F01D5E" w:rsidRDefault="00601A14" w:rsidP="00F01D5E">
      <w:pPr>
        <w:pStyle w:val="MDPI63notes"/>
        <w:rPr>
          <w:b/>
        </w:rPr>
      </w:pPr>
      <w:r w:rsidRPr="0086779C">
        <w:rPr>
          <w:b/>
        </w:rPr>
        <w:t>[</w:t>
      </w:r>
      <w:r w:rsidR="00F01D5E" w:rsidRPr="00F01D5E">
        <w:rPr>
          <w:b/>
        </w:rPr>
        <w:t>17</w:t>
      </w:r>
      <w:r w:rsidRPr="0086779C">
        <w:rPr>
          <w:b/>
        </w:rPr>
        <w:t>]</w:t>
      </w:r>
      <w:r w:rsidR="00F01D5E" w:rsidRPr="00F01D5E">
        <w:rPr>
          <w:b/>
        </w:rPr>
        <w:t xml:space="preserve"> </w:t>
      </w:r>
      <w:r w:rsidRPr="0086779C">
        <w:rPr>
          <w:bCs/>
        </w:rPr>
        <w:t>Ali, N. E., Kaddam, L. A., Alkarib, S. Y., Kaballo, B. G., Khalid, S. A., Higawee, A., ... &amp; Saeed, A. M. (2020). Gum Arabic (Acacia senegal) augmented total antioxidant capacity and reduced C‐reactive protein among haemodialysis patients in phase II trial. </w:t>
      </w:r>
      <w:r w:rsidRPr="0086779C">
        <w:rPr>
          <w:bCs/>
          <w:i/>
          <w:iCs/>
        </w:rPr>
        <w:t>International Journal of Nephrology</w:t>
      </w:r>
      <w:r w:rsidRPr="0086779C">
        <w:rPr>
          <w:bCs/>
        </w:rPr>
        <w:t>, </w:t>
      </w:r>
      <w:r w:rsidRPr="0086779C">
        <w:rPr>
          <w:bCs/>
          <w:i/>
          <w:iCs/>
        </w:rPr>
        <w:t>2020</w:t>
      </w:r>
      <w:r w:rsidRPr="0086779C">
        <w:rPr>
          <w:bCs/>
        </w:rPr>
        <w:t>(1), 7214673.</w:t>
      </w:r>
    </w:p>
    <w:p w14:paraId="076FE245" w14:textId="4CAA9774" w:rsidR="00601A14" w:rsidRPr="00F01D5E" w:rsidRDefault="00601A14" w:rsidP="00F01D5E">
      <w:pPr>
        <w:pStyle w:val="MDPI63notes"/>
        <w:rPr>
          <w:bCs/>
        </w:rPr>
      </w:pPr>
      <w:r w:rsidRPr="0086779C">
        <w:rPr>
          <w:b/>
        </w:rPr>
        <w:t>[</w:t>
      </w:r>
      <w:r w:rsidR="00F01D5E" w:rsidRPr="00F01D5E">
        <w:rPr>
          <w:b/>
        </w:rPr>
        <w:t>18</w:t>
      </w:r>
      <w:r w:rsidRPr="0086779C">
        <w:rPr>
          <w:b/>
        </w:rPr>
        <w:t>]</w:t>
      </w:r>
      <w:r w:rsidR="00F01D5E" w:rsidRPr="00F01D5E">
        <w:rPr>
          <w:b/>
        </w:rPr>
        <w:t xml:space="preserve"> </w:t>
      </w:r>
      <w:r w:rsidRPr="0086779C">
        <w:rPr>
          <w:bCs/>
        </w:rPr>
        <w:t>Elnour, A. A. M., Mirghani, M. E. S., Kabbashi, N. A., Md Alam, Z., &amp; Musa, K. H. (2018). Study of antioxidant and anti-inflammatory crude methanol extract and fractions of Acacia seyal gum. </w:t>
      </w:r>
      <w:r w:rsidRPr="0086779C">
        <w:rPr>
          <w:bCs/>
          <w:i/>
          <w:iCs/>
        </w:rPr>
        <w:t>Am J Pharmacol Pharmacother</w:t>
      </w:r>
      <w:r w:rsidRPr="0086779C">
        <w:rPr>
          <w:bCs/>
        </w:rPr>
        <w:t>, </w:t>
      </w:r>
      <w:r w:rsidRPr="0086779C">
        <w:rPr>
          <w:bCs/>
          <w:i/>
          <w:iCs/>
        </w:rPr>
        <w:t>5</w:t>
      </w:r>
      <w:r w:rsidRPr="0086779C">
        <w:rPr>
          <w:bCs/>
        </w:rPr>
        <w:t>(1), 3.</w:t>
      </w:r>
    </w:p>
    <w:p w14:paraId="13B6BCD2" w14:textId="1341F8B2" w:rsidR="00F01D5E" w:rsidRPr="00F01D5E" w:rsidRDefault="00601A14" w:rsidP="00F01D5E">
      <w:pPr>
        <w:pStyle w:val="MDPI63notes"/>
        <w:rPr>
          <w:b/>
        </w:rPr>
      </w:pPr>
      <w:r w:rsidRPr="0086779C">
        <w:rPr>
          <w:b/>
        </w:rPr>
        <w:t>[</w:t>
      </w:r>
      <w:r w:rsidR="00F01D5E" w:rsidRPr="00F01D5E">
        <w:rPr>
          <w:b/>
        </w:rPr>
        <w:t>19</w:t>
      </w:r>
      <w:r w:rsidRPr="0086779C">
        <w:rPr>
          <w:b/>
        </w:rPr>
        <w:t xml:space="preserve">] </w:t>
      </w:r>
      <w:r w:rsidRPr="0086779C">
        <w:rPr>
          <w:bCs/>
        </w:rPr>
        <w:t>Elnour, A. A., Abdurahman, N. H., Musa, K. H., &amp; Rasheed, Z. (2023). Prebiotic potential of gum Arabic for gut health. </w:t>
      </w:r>
      <w:r w:rsidRPr="0086779C">
        <w:rPr>
          <w:bCs/>
          <w:i/>
          <w:iCs/>
        </w:rPr>
        <w:t>International journal of health sciences</w:t>
      </w:r>
      <w:r w:rsidRPr="0086779C">
        <w:rPr>
          <w:bCs/>
        </w:rPr>
        <w:t>, </w:t>
      </w:r>
      <w:r w:rsidRPr="0086779C">
        <w:rPr>
          <w:bCs/>
          <w:i/>
          <w:iCs/>
        </w:rPr>
        <w:t>17</w:t>
      </w:r>
      <w:r w:rsidRPr="0086779C">
        <w:rPr>
          <w:bCs/>
        </w:rPr>
        <w:t>(6), 4.</w:t>
      </w:r>
    </w:p>
    <w:p w14:paraId="2E819B86" w14:textId="6110D6E7" w:rsidR="00F01D5E" w:rsidRPr="00F01D5E" w:rsidRDefault="00601A14" w:rsidP="00F01D5E">
      <w:pPr>
        <w:pStyle w:val="MDPI63notes"/>
        <w:rPr>
          <w:b/>
        </w:rPr>
      </w:pPr>
      <w:r w:rsidRPr="0086779C">
        <w:rPr>
          <w:b/>
        </w:rPr>
        <w:t>[</w:t>
      </w:r>
      <w:r w:rsidR="00F01D5E" w:rsidRPr="00F01D5E">
        <w:rPr>
          <w:b/>
        </w:rPr>
        <w:t>20</w:t>
      </w:r>
      <w:r w:rsidRPr="0086779C">
        <w:rPr>
          <w:b/>
        </w:rPr>
        <w:t xml:space="preserve">] </w:t>
      </w:r>
      <w:r w:rsidRPr="0086779C">
        <w:rPr>
          <w:bCs/>
        </w:rPr>
        <w:t>Obaid, S. S. (2020). The medical uses of Gum Acacia-Gum Arabic (GA) in human. </w:t>
      </w:r>
      <w:r w:rsidRPr="0086779C">
        <w:rPr>
          <w:bCs/>
          <w:i/>
          <w:iCs/>
        </w:rPr>
        <w:t>Academic Journal of Research and Scientific Publishing</w:t>
      </w:r>
      <w:r w:rsidRPr="0086779C">
        <w:rPr>
          <w:bCs/>
        </w:rPr>
        <w:t>, </w:t>
      </w:r>
      <w:r w:rsidRPr="0086779C">
        <w:rPr>
          <w:bCs/>
          <w:i/>
          <w:iCs/>
        </w:rPr>
        <w:t>1</w:t>
      </w:r>
      <w:r w:rsidRPr="0086779C">
        <w:rPr>
          <w:bCs/>
        </w:rPr>
        <w:t>(10).</w:t>
      </w:r>
    </w:p>
    <w:p w14:paraId="3D383CFF" w14:textId="5EF8BAED" w:rsidR="00F01D5E" w:rsidRPr="00F01D5E" w:rsidRDefault="00601A14" w:rsidP="00F01D5E">
      <w:pPr>
        <w:pStyle w:val="MDPI63notes"/>
        <w:rPr>
          <w:bCs/>
        </w:rPr>
      </w:pPr>
      <w:r w:rsidRPr="0086779C">
        <w:rPr>
          <w:b/>
        </w:rPr>
        <w:t>[</w:t>
      </w:r>
      <w:r w:rsidR="00F01D5E" w:rsidRPr="00F01D5E">
        <w:rPr>
          <w:b/>
        </w:rPr>
        <w:t>21</w:t>
      </w:r>
      <w:r w:rsidRPr="0086779C">
        <w:rPr>
          <w:b/>
        </w:rPr>
        <w:t>]</w:t>
      </w:r>
      <w:r w:rsidR="00F01D5E" w:rsidRPr="00F01D5E">
        <w:rPr>
          <w:b/>
        </w:rPr>
        <w:t xml:space="preserve"> </w:t>
      </w:r>
      <w:r w:rsidRPr="0086779C">
        <w:rPr>
          <w:bCs/>
        </w:rPr>
        <w:t>Hussein AlYafii, S. Y. (2021). MOLECULAR MECHANISIMS UNDERLYING THE ANTI-CANCER ACTIVITY OF GUM ARABIC FROM ACACIA SP. IN TRIPLE-NEGATIVE BREAST CANCER CELLS.</w:t>
      </w:r>
    </w:p>
    <w:p w14:paraId="1254078B" w14:textId="0466B387" w:rsidR="00601A14" w:rsidRPr="00F01D5E" w:rsidRDefault="00F01D5E" w:rsidP="00F01D5E">
      <w:pPr>
        <w:pStyle w:val="MDPI63notes"/>
        <w:rPr>
          <w:b/>
        </w:rPr>
      </w:pPr>
      <w:r w:rsidRPr="00F01D5E">
        <w:rPr>
          <w:b/>
        </w:rPr>
        <w:t xml:space="preserve">[22] </w:t>
      </w:r>
      <w:r w:rsidR="00601A14" w:rsidRPr="0086779C">
        <w:rPr>
          <w:bCs/>
        </w:rPr>
        <w:t>Kaddam, L., FdleAlmula, I., Eisawi, O. A., Abdelrazig, H. A., Elnimeiri, M., Lang, F., &amp; Saeed, A. M. (2015). Gum Arabic as fetal hemoglobin inducing agent in sickle cell anemia; in vivo study. </w:t>
      </w:r>
      <w:r w:rsidR="00601A14" w:rsidRPr="0086779C">
        <w:rPr>
          <w:bCs/>
          <w:i/>
          <w:iCs/>
        </w:rPr>
        <w:t>BMC hematology</w:t>
      </w:r>
      <w:r w:rsidR="00601A14" w:rsidRPr="0086779C">
        <w:rPr>
          <w:bCs/>
        </w:rPr>
        <w:t>, </w:t>
      </w:r>
      <w:r w:rsidR="00601A14" w:rsidRPr="0086779C">
        <w:rPr>
          <w:bCs/>
          <w:i/>
          <w:iCs/>
        </w:rPr>
        <w:t>15</w:t>
      </w:r>
      <w:r w:rsidR="00601A14" w:rsidRPr="0086779C">
        <w:rPr>
          <w:bCs/>
        </w:rPr>
        <w:t>(1), 19.</w:t>
      </w:r>
    </w:p>
    <w:p w14:paraId="4A2807B5" w14:textId="3DA929AB" w:rsidR="00601A14" w:rsidRPr="00F01D5E" w:rsidRDefault="00F01D5E" w:rsidP="00F01D5E">
      <w:pPr>
        <w:pStyle w:val="MDPI63notes"/>
        <w:rPr>
          <w:b/>
        </w:rPr>
      </w:pPr>
      <w:r w:rsidRPr="00F01D5E">
        <w:rPr>
          <w:b/>
        </w:rPr>
        <w:t xml:space="preserve">[23] </w:t>
      </w:r>
      <w:r w:rsidR="00601A14" w:rsidRPr="0086779C">
        <w:rPr>
          <w:bCs/>
        </w:rPr>
        <w:t>Alobaidi, S. (2024). Therapeutic potential of gum arabic (acacia senegal) in chronic kidney disease management: A narrative review. </w:t>
      </w:r>
      <w:r w:rsidR="00601A14" w:rsidRPr="0086779C">
        <w:rPr>
          <w:bCs/>
          <w:i/>
          <w:iCs/>
        </w:rPr>
        <w:t>Journal of Clinical Medicine</w:t>
      </w:r>
      <w:r w:rsidR="00601A14" w:rsidRPr="0086779C">
        <w:rPr>
          <w:bCs/>
        </w:rPr>
        <w:t>, </w:t>
      </w:r>
      <w:r w:rsidR="00601A14" w:rsidRPr="0086779C">
        <w:rPr>
          <w:bCs/>
          <w:i/>
          <w:iCs/>
        </w:rPr>
        <w:t>13</w:t>
      </w:r>
      <w:r w:rsidR="00601A14" w:rsidRPr="0086779C">
        <w:rPr>
          <w:bCs/>
        </w:rPr>
        <w:t>(19), 5778.</w:t>
      </w:r>
    </w:p>
    <w:p w14:paraId="543DFF54" w14:textId="248834F0" w:rsidR="00601A14" w:rsidRPr="00F01D5E" w:rsidRDefault="00F01D5E" w:rsidP="00F01D5E">
      <w:pPr>
        <w:pStyle w:val="MDPI63notes"/>
        <w:rPr>
          <w:b/>
        </w:rPr>
      </w:pPr>
      <w:r w:rsidRPr="00F01D5E">
        <w:rPr>
          <w:b/>
        </w:rPr>
        <w:t xml:space="preserve">[24] </w:t>
      </w:r>
      <w:r w:rsidR="00601A14" w:rsidRPr="0086779C">
        <w:rPr>
          <w:bCs/>
        </w:rPr>
        <w:t>Verbeken, D., Dierckx, S., &amp; Dewettinck, K. (2003). Exudate gums: occurrence, production, and applications. </w:t>
      </w:r>
      <w:r w:rsidR="00601A14" w:rsidRPr="0086779C">
        <w:rPr>
          <w:bCs/>
          <w:i/>
          <w:iCs/>
        </w:rPr>
        <w:t>Applied microbiology and biotechnology</w:t>
      </w:r>
      <w:r w:rsidR="00601A14" w:rsidRPr="0086779C">
        <w:rPr>
          <w:bCs/>
        </w:rPr>
        <w:t>, </w:t>
      </w:r>
      <w:r w:rsidR="00601A14" w:rsidRPr="0086779C">
        <w:rPr>
          <w:bCs/>
          <w:i/>
          <w:iCs/>
        </w:rPr>
        <w:t>63</w:t>
      </w:r>
      <w:r w:rsidR="00601A14" w:rsidRPr="0086779C">
        <w:rPr>
          <w:bCs/>
        </w:rPr>
        <w:t>(1), 10-21.</w:t>
      </w:r>
    </w:p>
    <w:p w14:paraId="7638AB40" w14:textId="1CCEEA1D" w:rsidR="00601A14" w:rsidRPr="00F01D5E" w:rsidRDefault="00F01D5E" w:rsidP="00F01D5E">
      <w:pPr>
        <w:pStyle w:val="MDPI63notes"/>
        <w:rPr>
          <w:b/>
        </w:rPr>
      </w:pPr>
      <w:r w:rsidRPr="00F01D5E">
        <w:rPr>
          <w:b/>
        </w:rPr>
        <w:t xml:space="preserve">[25] </w:t>
      </w:r>
      <w:r w:rsidR="00601A14" w:rsidRPr="0086779C">
        <w:rPr>
          <w:bCs/>
        </w:rPr>
        <w:t>Ali, B. H., Ziada, A., &amp; Blunden, G. (2009). Biological effects of gum arabic: a review of some recent research. </w:t>
      </w:r>
      <w:r w:rsidR="00601A14" w:rsidRPr="0086779C">
        <w:rPr>
          <w:bCs/>
          <w:i/>
          <w:iCs/>
        </w:rPr>
        <w:t>Food and chemical Toxicology</w:t>
      </w:r>
      <w:r w:rsidR="00601A14" w:rsidRPr="0086779C">
        <w:rPr>
          <w:bCs/>
        </w:rPr>
        <w:t>, </w:t>
      </w:r>
      <w:r w:rsidR="00601A14" w:rsidRPr="0086779C">
        <w:rPr>
          <w:bCs/>
          <w:i/>
          <w:iCs/>
        </w:rPr>
        <w:t>47</w:t>
      </w:r>
      <w:r w:rsidR="00601A14" w:rsidRPr="0086779C">
        <w:rPr>
          <w:bCs/>
        </w:rPr>
        <w:t>(1), 1-8.</w:t>
      </w:r>
    </w:p>
    <w:p w14:paraId="6383EC58" w14:textId="6B4EB010" w:rsidR="00601A14" w:rsidRPr="00F01D5E" w:rsidRDefault="00F01D5E" w:rsidP="00F01D5E">
      <w:pPr>
        <w:pStyle w:val="MDPI63notes"/>
        <w:rPr>
          <w:b/>
        </w:rPr>
      </w:pPr>
      <w:r w:rsidRPr="00F01D5E">
        <w:rPr>
          <w:b/>
        </w:rPr>
        <w:t xml:space="preserve">[26] </w:t>
      </w:r>
      <w:r w:rsidR="00601A14" w:rsidRPr="0086779C">
        <w:rPr>
          <w:bCs/>
        </w:rPr>
        <w:t>Babiker, R., Merghani, T. H., Elmusharaf, K., Badi, R. M., Lang, F., &amp; Saeed, A. M. (2012). Effects of Gum Arabic ingestion on body mass index and body fat percentage in healthy adult females: two-arm randomized, placebo controlled, double-blind trial. </w:t>
      </w:r>
      <w:r w:rsidR="00601A14" w:rsidRPr="0086779C">
        <w:rPr>
          <w:bCs/>
          <w:i/>
          <w:iCs/>
        </w:rPr>
        <w:t>Nutrition journal</w:t>
      </w:r>
      <w:r w:rsidR="00601A14" w:rsidRPr="0086779C">
        <w:rPr>
          <w:bCs/>
        </w:rPr>
        <w:t>, </w:t>
      </w:r>
      <w:r w:rsidR="00601A14" w:rsidRPr="0086779C">
        <w:rPr>
          <w:bCs/>
          <w:i/>
          <w:iCs/>
        </w:rPr>
        <w:t>11</w:t>
      </w:r>
      <w:r w:rsidR="00601A14" w:rsidRPr="0086779C">
        <w:rPr>
          <w:bCs/>
        </w:rPr>
        <w:t>(1), 111.</w:t>
      </w:r>
    </w:p>
    <w:p w14:paraId="3A7795B2" w14:textId="1411F5F5" w:rsidR="00601A14" w:rsidRPr="00F01D5E" w:rsidRDefault="00F01D5E" w:rsidP="00F01D5E">
      <w:pPr>
        <w:pStyle w:val="MDPI63notes"/>
        <w:rPr>
          <w:b/>
        </w:rPr>
      </w:pPr>
      <w:r w:rsidRPr="00F01D5E">
        <w:rPr>
          <w:b/>
        </w:rPr>
        <w:t xml:space="preserve">[27] </w:t>
      </w:r>
      <w:r w:rsidR="00601A14" w:rsidRPr="0086779C">
        <w:rPr>
          <w:bCs/>
        </w:rPr>
        <w:t>Mirghani, M. E., Elnour, A. A., Kabbashi, N. A., Alam, M. Z., Musa, K. H., &amp; Abdullah, A. (2018). Determination of antioxidant activity of gum arabic: An exudation from two different locations. </w:t>
      </w:r>
      <w:r w:rsidR="00601A14" w:rsidRPr="0086779C">
        <w:rPr>
          <w:bCs/>
          <w:i/>
          <w:iCs/>
        </w:rPr>
        <w:t>Sci. Asia</w:t>
      </w:r>
      <w:r w:rsidR="00601A14" w:rsidRPr="0086779C">
        <w:rPr>
          <w:bCs/>
        </w:rPr>
        <w:t>, </w:t>
      </w:r>
      <w:r w:rsidR="00601A14" w:rsidRPr="0086779C">
        <w:rPr>
          <w:bCs/>
          <w:i/>
          <w:iCs/>
        </w:rPr>
        <w:t>44</w:t>
      </w:r>
      <w:r w:rsidR="00601A14" w:rsidRPr="0086779C">
        <w:rPr>
          <w:bCs/>
        </w:rPr>
        <w:t>(2018), 179-186.</w:t>
      </w:r>
    </w:p>
    <w:p w14:paraId="124E68DE" w14:textId="78916C81" w:rsidR="00601A14" w:rsidRPr="00F01D5E" w:rsidRDefault="00F01D5E" w:rsidP="00F01D5E">
      <w:pPr>
        <w:pStyle w:val="MDPI63notes"/>
        <w:rPr>
          <w:b/>
        </w:rPr>
      </w:pPr>
      <w:r w:rsidRPr="00F01D5E">
        <w:rPr>
          <w:b/>
        </w:rPr>
        <w:t xml:space="preserve">[28] </w:t>
      </w:r>
      <w:r w:rsidR="00601A14" w:rsidRPr="0086779C">
        <w:rPr>
          <w:bCs/>
        </w:rPr>
        <w:t>Baien, S. H., Seele, J., Henneck, T., Freibrodt, C., Szura, G., Moubasher, H., ... &amp; de Buhr, N. (2020). Antimicrobial and immunomodulatory effect of gum arabic on human and bovine granulocytes against Staphylococcus aureus and Escherichia coli. </w:t>
      </w:r>
      <w:r w:rsidR="00601A14" w:rsidRPr="0086779C">
        <w:rPr>
          <w:bCs/>
          <w:i/>
          <w:iCs/>
        </w:rPr>
        <w:t>Frontiers in Immunology</w:t>
      </w:r>
      <w:r w:rsidR="00601A14" w:rsidRPr="0086779C">
        <w:rPr>
          <w:bCs/>
        </w:rPr>
        <w:t>, </w:t>
      </w:r>
      <w:r w:rsidR="00601A14" w:rsidRPr="0086779C">
        <w:rPr>
          <w:bCs/>
          <w:i/>
          <w:iCs/>
        </w:rPr>
        <w:t>10</w:t>
      </w:r>
      <w:r w:rsidR="00601A14" w:rsidRPr="0086779C">
        <w:rPr>
          <w:bCs/>
        </w:rPr>
        <w:t>, 3119.</w:t>
      </w:r>
    </w:p>
    <w:p w14:paraId="078B2BFD" w14:textId="62B0F089" w:rsidR="00601A14" w:rsidRPr="00F01D5E" w:rsidRDefault="00F01D5E" w:rsidP="00F01D5E">
      <w:pPr>
        <w:pStyle w:val="MDPI63notes"/>
        <w:rPr>
          <w:b/>
        </w:rPr>
      </w:pPr>
      <w:r w:rsidRPr="00F01D5E">
        <w:rPr>
          <w:b/>
        </w:rPr>
        <w:t xml:space="preserve">[29] </w:t>
      </w:r>
      <w:r w:rsidR="00601A14" w:rsidRPr="0086779C">
        <w:rPr>
          <w:bCs/>
        </w:rPr>
        <w:t>Babiker, R., Kaddam, L., &amp; Mariod, A. (2022). The role of gum Arabic as an anti-inflammatory, antioxidant, and immune modulator in COVID-19: A review. </w:t>
      </w:r>
      <w:r w:rsidR="00601A14" w:rsidRPr="0086779C">
        <w:rPr>
          <w:bCs/>
          <w:i/>
          <w:iCs/>
        </w:rPr>
        <w:t>Functional Food Science-Online ISSN: 2767-3146</w:t>
      </w:r>
      <w:r w:rsidR="00601A14" w:rsidRPr="0086779C">
        <w:rPr>
          <w:bCs/>
        </w:rPr>
        <w:t>, </w:t>
      </w:r>
      <w:r w:rsidR="00601A14" w:rsidRPr="0086779C">
        <w:rPr>
          <w:bCs/>
          <w:i/>
          <w:iCs/>
        </w:rPr>
        <w:t>2</w:t>
      </w:r>
      <w:r w:rsidR="00601A14" w:rsidRPr="0086779C">
        <w:rPr>
          <w:bCs/>
        </w:rPr>
        <w:t>(10), 242-257.</w:t>
      </w:r>
    </w:p>
    <w:p w14:paraId="0E484C69" w14:textId="0BF58418" w:rsidR="00601A14" w:rsidRPr="00F01D5E" w:rsidRDefault="00F01D5E" w:rsidP="00F01D5E">
      <w:pPr>
        <w:pStyle w:val="MDPI63notes"/>
        <w:rPr>
          <w:bCs/>
        </w:rPr>
      </w:pPr>
      <w:r w:rsidRPr="00F01D5E">
        <w:rPr>
          <w:b/>
        </w:rPr>
        <w:lastRenderedPageBreak/>
        <w:t xml:space="preserve">[30] </w:t>
      </w:r>
      <w:r w:rsidR="00601A14" w:rsidRPr="0086779C">
        <w:rPr>
          <w:bCs/>
        </w:rPr>
        <w:t>Venkatesan, J., Hur, W., Gupta, P. K., Son, S. E., Lee, H. B., Lee, S. J., ... &amp; Seong, G. H. (2023). Gum Arabic-mediated liquid exfoliation of transition metal dichalcogenides as photothermic anti-breast cancer candidates. </w:t>
      </w:r>
      <w:r w:rsidR="00601A14" w:rsidRPr="0086779C">
        <w:rPr>
          <w:bCs/>
          <w:i/>
          <w:iCs/>
        </w:rPr>
        <w:t>International Journal of Biological Macromolecules</w:t>
      </w:r>
      <w:r w:rsidR="00601A14" w:rsidRPr="0086779C">
        <w:rPr>
          <w:bCs/>
        </w:rPr>
        <w:t>, </w:t>
      </w:r>
      <w:r w:rsidR="00601A14" w:rsidRPr="0086779C">
        <w:rPr>
          <w:bCs/>
          <w:i/>
          <w:iCs/>
        </w:rPr>
        <w:t>244</w:t>
      </w:r>
      <w:r w:rsidR="00601A14" w:rsidRPr="0086779C">
        <w:rPr>
          <w:bCs/>
        </w:rPr>
        <w:t>, 124982.</w:t>
      </w:r>
    </w:p>
    <w:p w14:paraId="2A907EE2" w14:textId="72D1A97B" w:rsidR="00601A14" w:rsidRPr="00F01D5E" w:rsidRDefault="00F01D5E" w:rsidP="00F01D5E">
      <w:pPr>
        <w:pStyle w:val="MDPI63notes"/>
        <w:rPr>
          <w:bCs/>
        </w:rPr>
      </w:pPr>
      <w:r w:rsidRPr="00F01D5E">
        <w:rPr>
          <w:b/>
        </w:rPr>
        <w:t xml:space="preserve">[31] </w:t>
      </w:r>
      <w:r w:rsidR="00601A14" w:rsidRPr="0086779C">
        <w:rPr>
          <w:bCs/>
        </w:rPr>
        <w:t>Gouda, E., &amp; Babiker, F. (2022). Gum Arabic protects the rat heart from ischemia/reperfusion injury through anti-inflammatory and antioxidant pathways. </w:t>
      </w:r>
      <w:r w:rsidR="00601A14" w:rsidRPr="0086779C">
        <w:rPr>
          <w:bCs/>
          <w:i/>
          <w:iCs/>
        </w:rPr>
        <w:t>Scientific Reports</w:t>
      </w:r>
      <w:r w:rsidR="00601A14" w:rsidRPr="0086779C">
        <w:rPr>
          <w:bCs/>
        </w:rPr>
        <w:t>, </w:t>
      </w:r>
      <w:r w:rsidR="00601A14" w:rsidRPr="0086779C">
        <w:rPr>
          <w:bCs/>
          <w:i/>
          <w:iCs/>
        </w:rPr>
        <w:t>12</w:t>
      </w:r>
      <w:r w:rsidR="00601A14" w:rsidRPr="0086779C">
        <w:rPr>
          <w:bCs/>
        </w:rPr>
        <w:t>(1), 17235.</w:t>
      </w:r>
    </w:p>
    <w:p w14:paraId="1C881768" w14:textId="6A31BD3F" w:rsidR="00601A14" w:rsidRPr="00F01D5E" w:rsidRDefault="00F01D5E" w:rsidP="00F01D5E">
      <w:pPr>
        <w:pStyle w:val="MDPI63notes"/>
        <w:rPr>
          <w:bCs/>
        </w:rPr>
      </w:pPr>
      <w:r w:rsidRPr="00F01D5E">
        <w:rPr>
          <w:b/>
        </w:rPr>
        <w:t xml:space="preserve">[32] </w:t>
      </w:r>
      <w:r w:rsidR="0086779C" w:rsidRPr="0086779C">
        <w:rPr>
          <w:bCs/>
        </w:rPr>
        <w:t>Elamin, S., Alkhawaja, M. J., Bukhamsin, A. Y., Idris, M. A., Abdelrahman, M. M., Abutaleb, N. K., &amp; Housawi, A. A. (2017). Gum Arabic Reduces C‐Reactive Protein in Chronic Kidney Disease Patients without Affecting Urea or Indoxyl Sulfate Levels. </w:t>
      </w:r>
      <w:r w:rsidR="0086779C" w:rsidRPr="0086779C">
        <w:rPr>
          <w:bCs/>
          <w:i/>
          <w:iCs/>
        </w:rPr>
        <w:t>International journal of nephrology</w:t>
      </w:r>
      <w:r w:rsidR="0086779C" w:rsidRPr="0086779C">
        <w:rPr>
          <w:bCs/>
        </w:rPr>
        <w:t>, </w:t>
      </w:r>
      <w:r w:rsidR="0086779C" w:rsidRPr="0086779C">
        <w:rPr>
          <w:bCs/>
          <w:i/>
          <w:iCs/>
        </w:rPr>
        <w:t>2017</w:t>
      </w:r>
      <w:r w:rsidR="0086779C" w:rsidRPr="0086779C">
        <w:rPr>
          <w:bCs/>
        </w:rPr>
        <w:t>(1), 9501470.</w:t>
      </w:r>
    </w:p>
    <w:p w14:paraId="052C3CD3" w14:textId="396F13BE" w:rsidR="00601A14" w:rsidRPr="00F01D5E" w:rsidRDefault="00F01D5E" w:rsidP="00F01D5E">
      <w:pPr>
        <w:pStyle w:val="MDPI63notes"/>
        <w:rPr>
          <w:bCs/>
        </w:rPr>
      </w:pPr>
      <w:r w:rsidRPr="00F01D5E">
        <w:rPr>
          <w:b/>
        </w:rPr>
        <w:t xml:space="preserve">[33] </w:t>
      </w:r>
      <w:r w:rsidR="00601A14" w:rsidRPr="0086779C">
        <w:rPr>
          <w:bCs/>
        </w:rPr>
        <w:t>Serio, F., da Cruz, A. F., Chandra, A., Nobile, C., Rossi, G. R., D'Amone, E., ... &amp; de Oliveira, C. C. (2021). Electrospun polyvinyl-alcohol/gum arabic nanofibers: Biomimetic platform for in vitro cell growth and cancer nanomedicine delivery. </w:t>
      </w:r>
      <w:r w:rsidR="00601A14" w:rsidRPr="0086779C">
        <w:rPr>
          <w:bCs/>
          <w:i/>
          <w:iCs/>
        </w:rPr>
        <w:t>International Journal of Biological Macromolecules</w:t>
      </w:r>
      <w:r w:rsidR="00601A14" w:rsidRPr="0086779C">
        <w:rPr>
          <w:bCs/>
        </w:rPr>
        <w:t>, </w:t>
      </w:r>
      <w:r w:rsidR="00601A14" w:rsidRPr="0086779C">
        <w:rPr>
          <w:bCs/>
          <w:i/>
          <w:iCs/>
        </w:rPr>
        <w:t>188</w:t>
      </w:r>
      <w:r w:rsidR="00601A14" w:rsidRPr="0086779C">
        <w:rPr>
          <w:bCs/>
        </w:rPr>
        <w:t>, 764-773.</w:t>
      </w:r>
    </w:p>
    <w:p w14:paraId="27EA420F" w14:textId="66A7B43C" w:rsidR="00601A14" w:rsidRPr="00F01D5E" w:rsidRDefault="00F01D5E" w:rsidP="00F01D5E">
      <w:pPr>
        <w:pStyle w:val="MDPI63notes"/>
        <w:rPr>
          <w:b/>
        </w:rPr>
      </w:pPr>
      <w:r w:rsidRPr="00F01D5E">
        <w:rPr>
          <w:b/>
        </w:rPr>
        <w:t xml:space="preserve">[34] </w:t>
      </w:r>
      <w:r w:rsidR="00601A14" w:rsidRPr="0086779C">
        <w:rPr>
          <w:bCs/>
        </w:rPr>
        <w:t>Fadaka, A. O., Meyer, S., Ahmed, O., Geerts, G., Madiehe, M. A., Meyer, M., &amp; Sibuyi, N. R. (2022). Broad spectrum anti-bacterial activity and non-selective toxicity of gum Arabic silver nanoparticles. </w:t>
      </w:r>
      <w:r w:rsidR="00601A14" w:rsidRPr="0086779C">
        <w:rPr>
          <w:bCs/>
          <w:i/>
          <w:iCs/>
        </w:rPr>
        <w:t>International Journal of Molecular Sciences</w:t>
      </w:r>
      <w:r w:rsidR="00601A14" w:rsidRPr="0086779C">
        <w:rPr>
          <w:bCs/>
        </w:rPr>
        <w:t>, </w:t>
      </w:r>
      <w:r w:rsidR="00601A14" w:rsidRPr="0086779C">
        <w:rPr>
          <w:bCs/>
          <w:i/>
          <w:iCs/>
        </w:rPr>
        <w:t>23</w:t>
      </w:r>
      <w:r w:rsidR="00601A14" w:rsidRPr="0086779C">
        <w:rPr>
          <w:bCs/>
        </w:rPr>
        <w:t>(3), 1799.</w:t>
      </w:r>
    </w:p>
    <w:p w14:paraId="306C3DD0" w14:textId="152528E6" w:rsidR="00601A14" w:rsidRPr="00F01D5E" w:rsidRDefault="00F01D5E" w:rsidP="00F01D5E">
      <w:pPr>
        <w:pStyle w:val="MDPI63notes"/>
        <w:rPr>
          <w:bCs/>
        </w:rPr>
      </w:pPr>
      <w:r w:rsidRPr="00F01D5E">
        <w:rPr>
          <w:b/>
        </w:rPr>
        <w:t xml:space="preserve">[35] </w:t>
      </w:r>
      <w:r w:rsidR="00601A14" w:rsidRPr="0086779C">
        <w:rPr>
          <w:bCs/>
        </w:rPr>
        <w:t>Ma, T., Du, J., Zhang, Y., Wang, Y., Wang, B., &amp; Zhang, T. (2022). GPX4-independent ferroptosis—a new strategy in disease’s therapy. </w:t>
      </w:r>
      <w:r w:rsidR="00601A14" w:rsidRPr="0086779C">
        <w:rPr>
          <w:bCs/>
          <w:i/>
          <w:iCs/>
        </w:rPr>
        <w:t>Cell death discovery</w:t>
      </w:r>
      <w:r w:rsidR="00601A14" w:rsidRPr="0086779C">
        <w:rPr>
          <w:bCs/>
        </w:rPr>
        <w:t>, </w:t>
      </w:r>
      <w:r w:rsidR="00601A14" w:rsidRPr="0086779C">
        <w:rPr>
          <w:bCs/>
          <w:i/>
          <w:iCs/>
        </w:rPr>
        <w:t>8</w:t>
      </w:r>
      <w:r w:rsidR="00601A14" w:rsidRPr="0086779C">
        <w:rPr>
          <w:bCs/>
        </w:rPr>
        <w:t>(1), 434.</w:t>
      </w:r>
    </w:p>
    <w:p w14:paraId="6CCF5D3B" w14:textId="2E47C820" w:rsidR="00601A14" w:rsidRPr="00F01D5E" w:rsidRDefault="00F01D5E" w:rsidP="00F01D5E">
      <w:pPr>
        <w:pStyle w:val="MDPI63notes"/>
        <w:rPr>
          <w:b/>
        </w:rPr>
      </w:pPr>
      <w:r w:rsidRPr="00F01D5E">
        <w:rPr>
          <w:b/>
        </w:rPr>
        <w:t xml:space="preserve">[36] </w:t>
      </w:r>
      <w:r w:rsidR="00601A14" w:rsidRPr="0086779C">
        <w:rPr>
          <w:bCs/>
        </w:rPr>
        <w:t>Wei, L., Feng, Z., Dou, Q., Mao, G., Zhao, H., Zhao, X., &amp; Hao, B. (2025). GSTA2 overexpression alleviates bis (2-ethylhexyl) phthalate (DEHP)-induced male reproductive disorders by inhibiting oxidative stress-mediated cell apoptosis via the activated PI3K/AKT signaling pathway. </w:t>
      </w:r>
      <w:r w:rsidR="00601A14" w:rsidRPr="0086779C">
        <w:rPr>
          <w:bCs/>
          <w:i/>
          <w:iCs/>
        </w:rPr>
        <w:t>Molecular and Cellular Endocrinology</w:t>
      </w:r>
      <w:r w:rsidR="00601A14" w:rsidRPr="0086779C">
        <w:rPr>
          <w:bCs/>
        </w:rPr>
        <w:t>, </w:t>
      </w:r>
      <w:r w:rsidR="00601A14" w:rsidRPr="0086779C">
        <w:rPr>
          <w:bCs/>
          <w:i/>
          <w:iCs/>
        </w:rPr>
        <w:t>599</w:t>
      </w:r>
      <w:r w:rsidR="00601A14" w:rsidRPr="0086779C">
        <w:rPr>
          <w:bCs/>
        </w:rPr>
        <w:t>, 112462.</w:t>
      </w:r>
    </w:p>
    <w:p w14:paraId="3167A9C8" w14:textId="337A9498" w:rsidR="00F01D5E" w:rsidRPr="00F01D5E" w:rsidRDefault="00F01D5E" w:rsidP="00F01D5E">
      <w:pPr>
        <w:pStyle w:val="MDPI63notes"/>
        <w:rPr>
          <w:b/>
        </w:rPr>
      </w:pPr>
      <w:r w:rsidRPr="00F01D5E">
        <w:rPr>
          <w:b/>
        </w:rPr>
        <w:t xml:space="preserve">[37] </w:t>
      </w:r>
      <w:r w:rsidR="00601A14" w:rsidRPr="0086779C">
        <w:rPr>
          <w:bCs/>
        </w:rPr>
        <w:t>Lingappan, K. (2018). NF-κB in oxidative stress. </w:t>
      </w:r>
      <w:r w:rsidR="00601A14" w:rsidRPr="0086779C">
        <w:rPr>
          <w:bCs/>
          <w:i/>
          <w:iCs/>
        </w:rPr>
        <w:t>Current opinion in toxicology</w:t>
      </w:r>
      <w:r w:rsidR="00601A14" w:rsidRPr="0086779C">
        <w:rPr>
          <w:bCs/>
        </w:rPr>
        <w:t>, </w:t>
      </w:r>
      <w:r w:rsidR="00601A14" w:rsidRPr="0086779C">
        <w:rPr>
          <w:bCs/>
          <w:i/>
          <w:iCs/>
        </w:rPr>
        <w:t>7</w:t>
      </w:r>
      <w:r w:rsidR="00601A14" w:rsidRPr="0086779C">
        <w:rPr>
          <w:bCs/>
        </w:rPr>
        <w:t>, 81-86.</w:t>
      </w:r>
    </w:p>
    <w:p w14:paraId="70E91E18" w14:textId="77777777" w:rsidR="00F01D5E" w:rsidRPr="00F01D5E" w:rsidRDefault="00F01D5E" w:rsidP="00F01D5E">
      <w:pPr>
        <w:pStyle w:val="MDPI63notes"/>
        <w:rPr>
          <w:bCs/>
        </w:rPr>
      </w:pPr>
      <w:r w:rsidRPr="00F01D5E">
        <w:rPr>
          <w:b/>
        </w:rPr>
        <w:t xml:space="preserve">[38] </w:t>
      </w:r>
      <w:r w:rsidRPr="00F01D5E">
        <w:rPr>
          <w:bCs/>
        </w:rPr>
        <w:t>Stockwell, B. R., Angeli, J. P. F., Bayir, H., Bush, A. I., Conrad, M., Dixon, S. J., ... &amp; Zhang, D. D. (2017). Ferroptosis: a regulated cell death nexus linking metabolism, redox biology, and disease. Cell, 171(2), 273-285.</w:t>
      </w:r>
    </w:p>
    <w:p w14:paraId="3A3460A7" w14:textId="77777777" w:rsidR="00F01D5E" w:rsidRPr="00F01D5E" w:rsidRDefault="00F01D5E" w:rsidP="00F01D5E">
      <w:pPr>
        <w:pStyle w:val="MDPI63notes"/>
        <w:rPr>
          <w:bCs/>
        </w:rPr>
      </w:pPr>
      <w:r w:rsidRPr="00F01D5E">
        <w:rPr>
          <w:b/>
        </w:rPr>
        <w:t>[39]</w:t>
      </w:r>
      <w:r w:rsidRPr="00F01D5E">
        <w:rPr>
          <w:bCs/>
        </w:rPr>
        <w:t xml:space="preserve"> Ravari, F. K., Gorji, M. G., &amp; Rafiei, A. (2025). From iron-driven cell death to clot formation: The emerging role of ferroptosis in thrombogenesis. Biomedicine &amp; Pharmacotherapy, 189, 118328.</w:t>
      </w:r>
    </w:p>
    <w:p w14:paraId="066CA9BC" w14:textId="77777777" w:rsidR="00F01D5E" w:rsidRPr="00F01D5E" w:rsidRDefault="00F01D5E" w:rsidP="00F01D5E">
      <w:pPr>
        <w:pStyle w:val="MDPI63notes"/>
        <w:rPr>
          <w:bCs/>
        </w:rPr>
      </w:pPr>
      <w:r w:rsidRPr="00F01D5E">
        <w:rPr>
          <w:b/>
        </w:rPr>
        <w:t>[40]</w:t>
      </w:r>
      <w:r w:rsidRPr="00F01D5E">
        <w:rPr>
          <w:bCs/>
        </w:rPr>
        <w:t xml:space="preserve"> Ighodaro, O. M., &amp; Akinloye, O. A. (2018). First line defence antioxidants-superoxide dismutase (SOD), catalase (CAT) and glutathione peroxidase (GPX): Their fundamental role in the entire antioxidant defence grid. Alexandria journal of medicine, 54(4), 287-293.</w:t>
      </w:r>
    </w:p>
    <w:p w14:paraId="11B83437" w14:textId="77777777" w:rsidR="00F01D5E" w:rsidRPr="00F01D5E" w:rsidRDefault="00F01D5E" w:rsidP="00F01D5E">
      <w:pPr>
        <w:pStyle w:val="MDPI63notes"/>
        <w:rPr>
          <w:b/>
        </w:rPr>
      </w:pPr>
    </w:p>
    <w:p w14:paraId="090F4CC2" w14:textId="77777777" w:rsidR="007C3F85" w:rsidRDefault="007C3F85" w:rsidP="004F6FC3">
      <w:pPr>
        <w:pStyle w:val="MDPI63notes"/>
        <w:rPr>
          <w:b/>
        </w:rPr>
      </w:pPr>
    </w:p>
    <w:p w14:paraId="668B1308" w14:textId="77777777" w:rsidR="007C3F85" w:rsidRDefault="007C3F85" w:rsidP="004F6FC3">
      <w:pPr>
        <w:pStyle w:val="MDPI63notes"/>
        <w:rPr>
          <w:b/>
        </w:rPr>
      </w:pPr>
    </w:p>
    <w:p w14:paraId="3D24F5D5" w14:textId="691505C4" w:rsidR="00F10E2D" w:rsidRPr="009E050F" w:rsidRDefault="009E050F" w:rsidP="004F6FC3">
      <w:pPr>
        <w:pStyle w:val="MDPI63notes"/>
      </w:pPr>
      <w:r w:rsidRPr="003D585B">
        <w:rPr>
          <w:b/>
        </w:rPr>
        <w:t>Disclaimer/Publisher’s Note:</w:t>
      </w:r>
      <w:r w:rsidRPr="003D585B">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F10E2D" w:rsidRPr="009E050F" w:rsidSect="004F6FC3">
      <w:headerReference w:type="even" r:id="rId15"/>
      <w:headerReference w:type="default" r:id="rId16"/>
      <w:headerReference w:type="first" r:id="rId17"/>
      <w:footerReference w:type="first" r:id="rId18"/>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33E76" w14:textId="77777777" w:rsidR="00422D74" w:rsidRPr="003D585B" w:rsidRDefault="00422D74">
      <w:pPr>
        <w:spacing w:line="240" w:lineRule="auto"/>
      </w:pPr>
      <w:r w:rsidRPr="003D585B">
        <w:separator/>
      </w:r>
    </w:p>
  </w:endnote>
  <w:endnote w:type="continuationSeparator" w:id="0">
    <w:p w14:paraId="67FBAF42" w14:textId="77777777" w:rsidR="00422D74" w:rsidRPr="003D585B" w:rsidRDefault="00422D74">
      <w:pPr>
        <w:spacing w:line="240" w:lineRule="auto"/>
      </w:pPr>
      <w:r w:rsidRPr="003D5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A2"/>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02ED" w14:textId="77777777" w:rsidR="009E7E7D" w:rsidRPr="003D585B" w:rsidRDefault="009E7E7D" w:rsidP="00F026DA">
    <w:pPr>
      <w:pBdr>
        <w:top w:val="single" w:sz="4" w:space="0" w:color="000000"/>
      </w:pBdr>
      <w:tabs>
        <w:tab w:val="right" w:pos="8844"/>
      </w:tabs>
      <w:adjustRightInd w:val="0"/>
      <w:snapToGrid w:val="0"/>
      <w:spacing w:before="480" w:line="100" w:lineRule="exact"/>
      <w:jc w:val="left"/>
      <w:rPr>
        <w:i/>
        <w:sz w:val="16"/>
        <w:szCs w:val="16"/>
      </w:rPr>
    </w:pPr>
  </w:p>
  <w:p w14:paraId="018F0C7A" w14:textId="77777777" w:rsidR="00132454" w:rsidRPr="003D585B" w:rsidRDefault="00132454" w:rsidP="007760FF">
    <w:pPr>
      <w:tabs>
        <w:tab w:val="right" w:pos="10466"/>
      </w:tabs>
      <w:adjustRightInd w:val="0"/>
      <w:snapToGrid w:val="0"/>
      <w:spacing w:line="240" w:lineRule="auto"/>
      <w:rPr>
        <w:sz w:val="16"/>
        <w:szCs w:val="16"/>
      </w:rPr>
    </w:pPr>
    <w:r w:rsidRPr="003D585B">
      <w:rPr>
        <w:i/>
        <w:sz w:val="16"/>
        <w:szCs w:val="16"/>
      </w:rPr>
      <w:t xml:space="preserve">Biomolecules </w:t>
    </w:r>
    <w:r w:rsidR="004F6FC3" w:rsidRPr="003D585B">
      <w:rPr>
        <w:b/>
        <w:bCs/>
        <w:iCs/>
        <w:sz w:val="16"/>
        <w:szCs w:val="16"/>
      </w:rPr>
      <w:t>2025</w:t>
    </w:r>
    <w:r w:rsidR="008B20C2" w:rsidRPr="003D585B">
      <w:rPr>
        <w:bCs/>
        <w:iCs/>
        <w:sz w:val="16"/>
        <w:szCs w:val="16"/>
      </w:rPr>
      <w:t>,</w:t>
    </w:r>
    <w:r w:rsidR="004F6FC3" w:rsidRPr="003D585B">
      <w:rPr>
        <w:bCs/>
        <w:i/>
        <w:iCs/>
        <w:sz w:val="16"/>
        <w:szCs w:val="16"/>
      </w:rPr>
      <w:t xml:space="preserve"> 15</w:t>
    </w:r>
    <w:r w:rsidR="008B20C2" w:rsidRPr="003D585B">
      <w:rPr>
        <w:bCs/>
        <w:iCs/>
        <w:sz w:val="16"/>
        <w:szCs w:val="16"/>
      </w:rPr>
      <w:t xml:space="preserve">, </w:t>
    </w:r>
    <w:r w:rsidR="00686832" w:rsidRPr="003D585B">
      <w:rPr>
        <w:bCs/>
        <w:iCs/>
        <w:sz w:val="16"/>
        <w:szCs w:val="16"/>
      </w:rPr>
      <w:t>x</w:t>
    </w:r>
    <w:r w:rsidR="007760FF" w:rsidRPr="003D585B">
      <w:rPr>
        <w:sz w:val="16"/>
        <w:szCs w:val="16"/>
      </w:rPr>
      <w:tab/>
    </w:r>
    <w:r w:rsidR="004F6FC3" w:rsidRPr="003D585B">
      <w:rPr>
        <w:sz w:val="16"/>
        <w:szCs w:val="16"/>
      </w:rPr>
      <w:t>https://doi.org/10.3390/xxxxx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EBA8A" w14:textId="77777777" w:rsidR="00422D74" w:rsidRPr="003D585B" w:rsidRDefault="00422D74">
      <w:pPr>
        <w:spacing w:line="240" w:lineRule="auto"/>
      </w:pPr>
      <w:r w:rsidRPr="003D585B">
        <w:separator/>
      </w:r>
    </w:p>
  </w:footnote>
  <w:footnote w:type="continuationSeparator" w:id="0">
    <w:p w14:paraId="306D914F" w14:textId="77777777" w:rsidR="00422D74" w:rsidRPr="003D585B" w:rsidRDefault="00422D74">
      <w:pPr>
        <w:spacing w:line="240" w:lineRule="auto"/>
      </w:pPr>
      <w:r w:rsidRPr="003D585B">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3B54F" w14:textId="77777777" w:rsidR="00132454" w:rsidRPr="003D585B" w:rsidRDefault="00132454" w:rsidP="00132454">
    <w:pPr>
      <w:pStyle w:val="stBilgi"/>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9600" w14:textId="5C7250F9" w:rsidR="009E7E7D" w:rsidRPr="003D585B" w:rsidRDefault="00132454" w:rsidP="007760FF">
    <w:pPr>
      <w:tabs>
        <w:tab w:val="right" w:pos="10466"/>
      </w:tabs>
      <w:adjustRightInd w:val="0"/>
      <w:snapToGrid w:val="0"/>
      <w:spacing w:line="240" w:lineRule="auto"/>
      <w:rPr>
        <w:sz w:val="16"/>
      </w:rPr>
    </w:pPr>
    <w:r w:rsidRPr="003D585B">
      <w:rPr>
        <w:i/>
        <w:sz w:val="16"/>
      </w:rPr>
      <w:t xml:space="preserve">Biomolecules </w:t>
    </w:r>
    <w:r w:rsidR="004F6FC3" w:rsidRPr="003D585B">
      <w:rPr>
        <w:b/>
        <w:sz w:val="16"/>
      </w:rPr>
      <w:t>2025</w:t>
    </w:r>
    <w:r w:rsidR="008B20C2" w:rsidRPr="003D585B">
      <w:rPr>
        <w:sz w:val="16"/>
      </w:rPr>
      <w:t>,</w:t>
    </w:r>
    <w:r w:rsidR="004F6FC3" w:rsidRPr="003D585B">
      <w:rPr>
        <w:i/>
        <w:sz w:val="16"/>
      </w:rPr>
      <w:t xml:space="preserve"> 15</w:t>
    </w:r>
    <w:r w:rsidR="00686832" w:rsidRPr="003D585B">
      <w:rPr>
        <w:sz w:val="16"/>
      </w:rPr>
      <w:t xml:space="preserve">, x </w:t>
    </w:r>
    <w:r w:rsidR="004F6FC3" w:rsidRPr="003D585B">
      <w:rPr>
        <w:sz w:val="16"/>
      </w:rPr>
      <w:t>FOR PEER REVIEW</w:t>
    </w:r>
    <w:r w:rsidR="004F6FC3" w:rsidRPr="003D585B">
      <w:rPr>
        <w:sz w:val="16"/>
      </w:rPr>
      <w:ptab w:relativeTo="margin" w:alignment="right" w:leader="none"/>
    </w:r>
    <w:r w:rsidR="004F6FC3" w:rsidRPr="003D585B">
      <w:rPr>
        <w:sz w:val="16"/>
      </w:rPr>
      <w:fldChar w:fldCharType="begin"/>
    </w:r>
    <w:r w:rsidR="004F6FC3" w:rsidRPr="003D585B">
      <w:rPr>
        <w:sz w:val="16"/>
      </w:rPr>
      <w:instrText xml:space="preserve"> PAGE   \* MERGEFORMAT </w:instrText>
    </w:r>
    <w:r w:rsidR="004F6FC3" w:rsidRPr="003D585B">
      <w:rPr>
        <w:sz w:val="16"/>
      </w:rPr>
      <w:fldChar w:fldCharType="separate"/>
    </w:r>
    <w:r w:rsidR="00571689">
      <w:rPr>
        <w:noProof/>
        <w:sz w:val="16"/>
      </w:rPr>
      <w:t>2</w:t>
    </w:r>
    <w:r w:rsidR="004F6FC3" w:rsidRPr="003D585B">
      <w:rPr>
        <w:sz w:val="16"/>
      </w:rPr>
      <w:fldChar w:fldCharType="end"/>
    </w:r>
    <w:r w:rsidR="004F6FC3" w:rsidRPr="003D585B">
      <w:rPr>
        <w:sz w:val="16"/>
      </w:rPr>
      <w:t xml:space="preserve"> of </w:t>
    </w:r>
    <w:r w:rsidR="004F6FC3" w:rsidRPr="003D585B">
      <w:rPr>
        <w:sz w:val="16"/>
      </w:rPr>
      <w:fldChar w:fldCharType="begin"/>
    </w:r>
    <w:r w:rsidR="004F6FC3" w:rsidRPr="003D585B">
      <w:rPr>
        <w:sz w:val="16"/>
      </w:rPr>
      <w:instrText xml:space="preserve"> NUMPAGES   \* MERGEFORMAT </w:instrText>
    </w:r>
    <w:r w:rsidR="004F6FC3" w:rsidRPr="003D585B">
      <w:rPr>
        <w:sz w:val="16"/>
      </w:rPr>
      <w:fldChar w:fldCharType="separate"/>
    </w:r>
    <w:r w:rsidR="00571689">
      <w:rPr>
        <w:noProof/>
        <w:sz w:val="16"/>
      </w:rPr>
      <w:t>12</w:t>
    </w:r>
    <w:r w:rsidR="004F6FC3" w:rsidRPr="003D585B">
      <w:rPr>
        <w:sz w:val="16"/>
      </w:rPr>
      <w:fldChar w:fldCharType="end"/>
    </w:r>
  </w:p>
  <w:p w14:paraId="005F761D" w14:textId="77777777" w:rsidR="00132454" w:rsidRPr="003D585B" w:rsidRDefault="00132454" w:rsidP="00F026DA">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9E7E7D" w:rsidRPr="003D585B" w14:paraId="021603A1" w14:textId="77777777" w:rsidTr="003A7E03">
      <w:trPr>
        <w:trHeight w:val="686"/>
      </w:trPr>
      <w:tc>
        <w:tcPr>
          <w:tcW w:w="3679" w:type="dxa"/>
          <w:shd w:val="clear" w:color="auto" w:fill="auto"/>
          <w:vAlign w:val="center"/>
        </w:tcPr>
        <w:p w14:paraId="48153B62" w14:textId="77777777" w:rsidR="009E7E7D" w:rsidRPr="003D585B" w:rsidRDefault="005C7D47" w:rsidP="007760FF">
          <w:pPr>
            <w:pStyle w:val="stBilgi"/>
            <w:pBdr>
              <w:bottom w:val="none" w:sz="0" w:space="0" w:color="auto"/>
            </w:pBdr>
            <w:jc w:val="left"/>
            <w:rPr>
              <w:rFonts w:eastAsia="DengXian"/>
              <w:b/>
              <w:bCs/>
            </w:rPr>
          </w:pPr>
          <w:r w:rsidRPr="003D585B">
            <w:rPr>
              <w:rFonts w:eastAsia="DengXian"/>
              <w:b/>
              <w:bCs/>
              <w:noProof/>
              <w:lang w:val="tr-TR" w:eastAsia="tr-TR"/>
            </w:rPr>
            <w:drawing>
              <wp:inline distT="0" distB="0" distL="0" distR="0" wp14:anchorId="2AE04FBB" wp14:editId="7A5F7E64">
                <wp:extent cx="1712789" cy="432000"/>
                <wp:effectExtent l="0" t="0" r="1905" b="6350"/>
                <wp:docPr id="166071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16081" name=""/>
                        <pic:cNvPicPr/>
                      </pic:nvPicPr>
                      <pic:blipFill>
                        <a:blip r:embed="rId1"/>
                        <a:stretch>
                          <a:fillRect/>
                        </a:stretch>
                      </pic:blipFill>
                      <pic:spPr>
                        <a:xfrm>
                          <a:off x="0" y="0"/>
                          <a:ext cx="1712789" cy="432000"/>
                        </a:xfrm>
                        <a:prstGeom prst="rect">
                          <a:avLst/>
                        </a:prstGeom>
                      </pic:spPr>
                    </pic:pic>
                  </a:graphicData>
                </a:graphic>
              </wp:inline>
            </w:drawing>
          </w:r>
        </w:p>
      </w:tc>
      <w:tc>
        <w:tcPr>
          <w:tcW w:w="4535" w:type="dxa"/>
          <w:shd w:val="clear" w:color="auto" w:fill="auto"/>
          <w:vAlign w:val="center"/>
        </w:tcPr>
        <w:p w14:paraId="7193F4FE" w14:textId="77777777" w:rsidR="009E7E7D" w:rsidRPr="003D585B" w:rsidRDefault="009E7E7D" w:rsidP="007760FF">
          <w:pPr>
            <w:pStyle w:val="stBilgi"/>
            <w:pBdr>
              <w:bottom w:val="none" w:sz="0" w:space="0" w:color="auto"/>
            </w:pBdr>
            <w:rPr>
              <w:rFonts w:eastAsia="DengXian"/>
              <w:b/>
              <w:bCs/>
            </w:rPr>
          </w:pPr>
        </w:p>
      </w:tc>
      <w:tc>
        <w:tcPr>
          <w:tcW w:w="2273" w:type="dxa"/>
          <w:shd w:val="clear" w:color="auto" w:fill="auto"/>
          <w:vAlign w:val="center"/>
        </w:tcPr>
        <w:p w14:paraId="542A9EAC" w14:textId="77777777" w:rsidR="009E7E7D" w:rsidRPr="003D585B" w:rsidRDefault="003A7E03" w:rsidP="003A7E03">
          <w:pPr>
            <w:pStyle w:val="stBilgi"/>
            <w:pBdr>
              <w:bottom w:val="none" w:sz="0" w:space="0" w:color="auto"/>
            </w:pBdr>
            <w:jc w:val="right"/>
            <w:rPr>
              <w:rFonts w:eastAsia="DengXian"/>
              <w:b/>
              <w:bCs/>
            </w:rPr>
          </w:pPr>
          <w:r w:rsidRPr="003D585B">
            <w:rPr>
              <w:rFonts w:eastAsia="DengXian"/>
              <w:b/>
              <w:bCs/>
              <w:noProof/>
              <w:lang w:val="tr-TR" w:eastAsia="tr-TR"/>
            </w:rPr>
            <w:drawing>
              <wp:inline distT="0" distB="0" distL="0" distR="0" wp14:anchorId="3C80AAC7" wp14:editId="2F24763A">
                <wp:extent cx="540000" cy="360000"/>
                <wp:effectExtent l="0" t="0" r="0" b="2540"/>
                <wp:docPr id="1413713586" name="Picture 1"/>
                <wp:cNvGraphicFramePr/>
                <a:graphic xmlns:a="http://schemas.openxmlformats.org/drawingml/2006/main">
                  <a:graphicData uri="http://schemas.openxmlformats.org/drawingml/2006/picture">
                    <pic:pic xmlns:pic="http://schemas.openxmlformats.org/drawingml/2006/picture">
                      <pic:nvPicPr>
                        <pic:cNvPr id="1413713586" name=""/>
                        <pic:cNvPicPr/>
                      </pic:nvPicPr>
                      <pic:blipFill>
                        <a:blip r:embed="rId2"/>
                        <a:stretch>
                          <a:fillRect/>
                        </a:stretch>
                      </pic:blipFill>
                      <pic:spPr>
                        <a:xfrm>
                          <a:off x="0" y="0"/>
                          <a:ext cx="540000" cy="360000"/>
                        </a:xfrm>
                        <a:prstGeom prst="rect">
                          <a:avLst/>
                        </a:prstGeom>
                      </pic:spPr>
                    </pic:pic>
                  </a:graphicData>
                </a:graphic>
              </wp:inline>
            </w:drawing>
          </w:r>
        </w:p>
      </w:tc>
    </w:tr>
  </w:tbl>
  <w:p w14:paraId="2195F47B" w14:textId="77777777" w:rsidR="00132454" w:rsidRPr="003D585B" w:rsidRDefault="00132454" w:rsidP="004F6FC3">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DD24126"/>
    <w:lvl w:ilvl="0">
      <w:start w:val="1"/>
      <w:numFmt w:val="decimal"/>
      <w:pStyle w:val="ListeNumaras"/>
      <w:lvlText w:val="%1."/>
      <w:lvlJc w:val="left"/>
      <w:pPr>
        <w:tabs>
          <w:tab w:val="num" w:pos="360"/>
        </w:tabs>
        <w:ind w:left="360" w:hanging="360"/>
      </w:pPr>
    </w:lvl>
  </w:abstractNum>
  <w:abstractNum w:abstractNumId="1" w15:restartNumberingAfterBreak="0">
    <w:nsid w:val="18B468F5"/>
    <w:multiLevelType w:val="hybridMultilevel"/>
    <w:tmpl w:val="39D29364"/>
    <w:lvl w:ilvl="0" w:tplc="6A16299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06AE6"/>
    <w:multiLevelType w:val="hybridMultilevel"/>
    <w:tmpl w:val="4CFCDD02"/>
    <w:lvl w:ilvl="0" w:tplc="34FAD97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3307C77"/>
    <w:multiLevelType w:val="hybridMultilevel"/>
    <w:tmpl w:val="4AFAADFA"/>
    <w:lvl w:ilvl="0" w:tplc="C87018A8">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BE121E"/>
    <w:multiLevelType w:val="hybridMultilevel"/>
    <w:tmpl w:val="05166F06"/>
    <w:lvl w:ilvl="0" w:tplc="06C047A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4"/>
  </w:num>
  <w:num w:numId="2">
    <w:abstractNumId w:val="7"/>
  </w:num>
  <w:num w:numId="3">
    <w:abstractNumId w:val="3"/>
  </w:num>
  <w:num w:numId="4">
    <w:abstractNumId w:val="5"/>
  </w:num>
  <w:num w:numId="5">
    <w:abstractNumId w:val="9"/>
  </w:num>
  <w:num w:numId="6">
    <w:abstractNumId w:val="2"/>
  </w:num>
  <w:num w:numId="7">
    <w:abstractNumId w:val="9"/>
  </w:num>
  <w:num w:numId="8">
    <w:abstractNumId w:val="2"/>
  </w:num>
  <w:num w:numId="9">
    <w:abstractNumId w:val="9"/>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2"/>
  </w:num>
  <w:num w:numId="15">
    <w:abstractNumId w:val="1"/>
  </w:num>
  <w:num w:numId="16">
    <w:abstractNumId w:val="8"/>
  </w:num>
  <w:num w:numId="17">
    <w:abstractNumId w:val="1"/>
  </w:num>
  <w:num w:numId="18">
    <w:abstractNumId w:val="9"/>
  </w:num>
  <w:num w:numId="19">
    <w:abstractNumId w:val="2"/>
  </w:num>
  <w:num w:numId="20">
    <w:abstractNumId w:val="1"/>
  </w:num>
  <w:num w:numId="21">
    <w:abstractNumId w:val="6"/>
  </w:num>
  <w:num w:numId="22">
    <w:abstractNumId w:val="12"/>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D7"/>
    <w:rsid w:val="00007272"/>
    <w:rsid w:val="000132B0"/>
    <w:rsid w:val="00032818"/>
    <w:rsid w:val="000343DC"/>
    <w:rsid w:val="00042D42"/>
    <w:rsid w:val="00052B57"/>
    <w:rsid w:val="00060973"/>
    <w:rsid w:val="00071513"/>
    <w:rsid w:val="00097A6D"/>
    <w:rsid w:val="000A0C12"/>
    <w:rsid w:val="000B1B7A"/>
    <w:rsid w:val="000B5C40"/>
    <w:rsid w:val="000D3498"/>
    <w:rsid w:val="000D53CD"/>
    <w:rsid w:val="000D7D1C"/>
    <w:rsid w:val="000F312D"/>
    <w:rsid w:val="000F33D0"/>
    <w:rsid w:val="000F61D2"/>
    <w:rsid w:val="00107ECB"/>
    <w:rsid w:val="00125624"/>
    <w:rsid w:val="00131A4D"/>
    <w:rsid w:val="00132454"/>
    <w:rsid w:val="00132E47"/>
    <w:rsid w:val="001560D0"/>
    <w:rsid w:val="00167CAE"/>
    <w:rsid w:val="0019109B"/>
    <w:rsid w:val="001A2711"/>
    <w:rsid w:val="001A7564"/>
    <w:rsid w:val="001A7B14"/>
    <w:rsid w:val="001C29E7"/>
    <w:rsid w:val="001C5D84"/>
    <w:rsid w:val="001E2AEB"/>
    <w:rsid w:val="001F1F88"/>
    <w:rsid w:val="00200CE3"/>
    <w:rsid w:val="002038D5"/>
    <w:rsid w:val="00206339"/>
    <w:rsid w:val="002107FC"/>
    <w:rsid w:val="0021592A"/>
    <w:rsid w:val="002247F2"/>
    <w:rsid w:val="00241F64"/>
    <w:rsid w:val="00243B00"/>
    <w:rsid w:val="002440B4"/>
    <w:rsid w:val="00256B95"/>
    <w:rsid w:val="0026551C"/>
    <w:rsid w:val="00274416"/>
    <w:rsid w:val="00293F85"/>
    <w:rsid w:val="00295161"/>
    <w:rsid w:val="002A65AA"/>
    <w:rsid w:val="002B3114"/>
    <w:rsid w:val="002B364B"/>
    <w:rsid w:val="002B5C55"/>
    <w:rsid w:val="002C699F"/>
    <w:rsid w:val="002E3EBC"/>
    <w:rsid w:val="002E5603"/>
    <w:rsid w:val="002F0645"/>
    <w:rsid w:val="002F3169"/>
    <w:rsid w:val="003016B1"/>
    <w:rsid w:val="00320F69"/>
    <w:rsid w:val="00322AA7"/>
    <w:rsid w:val="00324C7E"/>
    <w:rsid w:val="00326141"/>
    <w:rsid w:val="00331E5E"/>
    <w:rsid w:val="0035172C"/>
    <w:rsid w:val="00380E6C"/>
    <w:rsid w:val="00394597"/>
    <w:rsid w:val="003A0005"/>
    <w:rsid w:val="003A0EF7"/>
    <w:rsid w:val="003A7E03"/>
    <w:rsid w:val="003B501F"/>
    <w:rsid w:val="003C5613"/>
    <w:rsid w:val="003C72C4"/>
    <w:rsid w:val="003C7987"/>
    <w:rsid w:val="003D2726"/>
    <w:rsid w:val="003D585B"/>
    <w:rsid w:val="003D6F12"/>
    <w:rsid w:val="003E0324"/>
    <w:rsid w:val="003E6FB2"/>
    <w:rsid w:val="003F1E1E"/>
    <w:rsid w:val="003F590A"/>
    <w:rsid w:val="00400E48"/>
    <w:rsid w:val="00401D30"/>
    <w:rsid w:val="00413AE8"/>
    <w:rsid w:val="00422D74"/>
    <w:rsid w:val="00425302"/>
    <w:rsid w:val="00430A3C"/>
    <w:rsid w:val="00437491"/>
    <w:rsid w:val="0047607A"/>
    <w:rsid w:val="00477D8E"/>
    <w:rsid w:val="00480A19"/>
    <w:rsid w:val="00487134"/>
    <w:rsid w:val="004872CC"/>
    <w:rsid w:val="00490D2B"/>
    <w:rsid w:val="004973D3"/>
    <w:rsid w:val="004D6765"/>
    <w:rsid w:val="004E4D29"/>
    <w:rsid w:val="004F6FC3"/>
    <w:rsid w:val="005008A5"/>
    <w:rsid w:val="00513E95"/>
    <w:rsid w:val="00522447"/>
    <w:rsid w:val="005258AC"/>
    <w:rsid w:val="00545B32"/>
    <w:rsid w:val="00563A48"/>
    <w:rsid w:val="00567456"/>
    <w:rsid w:val="00571689"/>
    <w:rsid w:val="005763E8"/>
    <w:rsid w:val="005965C3"/>
    <w:rsid w:val="005A5BC3"/>
    <w:rsid w:val="005A60BB"/>
    <w:rsid w:val="005C65BC"/>
    <w:rsid w:val="005C7D47"/>
    <w:rsid w:val="005E4246"/>
    <w:rsid w:val="005F3008"/>
    <w:rsid w:val="00601A14"/>
    <w:rsid w:val="00603576"/>
    <w:rsid w:val="006119FB"/>
    <w:rsid w:val="006127D4"/>
    <w:rsid w:val="00615553"/>
    <w:rsid w:val="0063104C"/>
    <w:rsid w:val="0064100B"/>
    <w:rsid w:val="006428E3"/>
    <w:rsid w:val="00650E2A"/>
    <w:rsid w:val="00660619"/>
    <w:rsid w:val="00666D4E"/>
    <w:rsid w:val="006752FF"/>
    <w:rsid w:val="00686832"/>
    <w:rsid w:val="00692393"/>
    <w:rsid w:val="0070283A"/>
    <w:rsid w:val="007101DC"/>
    <w:rsid w:val="00711A79"/>
    <w:rsid w:val="007220FB"/>
    <w:rsid w:val="00744C17"/>
    <w:rsid w:val="007510CE"/>
    <w:rsid w:val="00757B4E"/>
    <w:rsid w:val="00773703"/>
    <w:rsid w:val="00773ECC"/>
    <w:rsid w:val="00775FD7"/>
    <w:rsid w:val="007760FF"/>
    <w:rsid w:val="0078235F"/>
    <w:rsid w:val="00790863"/>
    <w:rsid w:val="00792F82"/>
    <w:rsid w:val="007A16E3"/>
    <w:rsid w:val="007B5A14"/>
    <w:rsid w:val="007C3F85"/>
    <w:rsid w:val="007D1DA2"/>
    <w:rsid w:val="007E39F1"/>
    <w:rsid w:val="007E4776"/>
    <w:rsid w:val="007F10A8"/>
    <w:rsid w:val="00800D1F"/>
    <w:rsid w:val="008054DC"/>
    <w:rsid w:val="00820A87"/>
    <w:rsid w:val="00835842"/>
    <w:rsid w:val="0084734D"/>
    <w:rsid w:val="00865AC6"/>
    <w:rsid w:val="0086779C"/>
    <w:rsid w:val="00874491"/>
    <w:rsid w:val="00885808"/>
    <w:rsid w:val="00886BB1"/>
    <w:rsid w:val="008916EA"/>
    <w:rsid w:val="008B20C2"/>
    <w:rsid w:val="008C2F56"/>
    <w:rsid w:val="008D0637"/>
    <w:rsid w:val="00932CE9"/>
    <w:rsid w:val="00933CD5"/>
    <w:rsid w:val="009365EA"/>
    <w:rsid w:val="00936C16"/>
    <w:rsid w:val="009423DD"/>
    <w:rsid w:val="009430B0"/>
    <w:rsid w:val="0094553E"/>
    <w:rsid w:val="0095195D"/>
    <w:rsid w:val="00954328"/>
    <w:rsid w:val="009609DB"/>
    <w:rsid w:val="00964448"/>
    <w:rsid w:val="009972AA"/>
    <w:rsid w:val="009A1968"/>
    <w:rsid w:val="009B083C"/>
    <w:rsid w:val="009C0E73"/>
    <w:rsid w:val="009E050F"/>
    <w:rsid w:val="009E7E7D"/>
    <w:rsid w:val="009F53C0"/>
    <w:rsid w:val="009F70E6"/>
    <w:rsid w:val="00A023F5"/>
    <w:rsid w:val="00A0601D"/>
    <w:rsid w:val="00A107B6"/>
    <w:rsid w:val="00A1352C"/>
    <w:rsid w:val="00A544B3"/>
    <w:rsid w:val="00A577E0"/>
    <w:rsid w:val="00A57A41"/>
    <w:rsid w:val="00A57BC8"/>
    <w:rsid w:val="00A66E64"/>
    <w:rsid w:val="00A76F22"/>
    <w:rsid w:val="00A93214"/>
    <w:rsid w:val="00AB407B"/>
    <w:rsid w:val="00AC34C8"/>
    <w:rsid w:val="00AD0484"/>
    <w:rsid w:val="00AE6FA2"/>
    <w:rsid w:val="00AF206C"/>
    <w:rsid w:val="00B044D0"/>
    <w:rsid w:val="00B37690"/>
    <w:rsid w:val="00B4026F"/>
    <w:rsid w:val="00B432D1"/>
    <w:rsid w:val="00B563B1"/>
    <w:rsid w:val="00B66577"/>
    <w:rsid w:val="00B77C62"/>
    <w:rsid w:val="00B85761"/>
    <w:rsid w:val="00B87DEA"/>
    <w:rsid w:val="00B97824"/>
    <w:rsid w:val="00BA2A71"/>
    <w:rsid w:val="00BB0D4E"/>
    <w:rsid w:val="00BC2B4B"/>
    <w:rsid w:val="00BC5F3E"/>
    <w:rsid w:val="00BE2085"/>
    <w:rsid w:val="00BF046E"/>
    <w:rsid w:val="00C168AC"/>
    <w:rsid w:val="00C352FB"/>
    <w:rsid w:val="00C44605"/>
    <w:rsid w:val="00C45B59"/>
    <w:rsid w:val="00C542C0"/>
    <w:rsid w:val="00C63794"/>
    <w:rsid w:val="00CA1649"/>
    <w:rsid w:val="00CA7742"/>
    <w:rsid w:val="00CB73D9"/>
    <w:rsid w:val="00CD5615"/>
    <w:rsid w:val="00CD64DF"/>
    <w:rsid w:val="00CE436C"/>
    <w:rsid w:val="00CF6231"/>
    <w:rsid w:val="00D003D9"/>
    <w:rsid w:val="00D04516"/>
    <w:rsid w:val="00D10676"/>
    <w:rsid w:val="00D151DA"/>
    <w:rsid w:val="00D157C0"/>
    <w:rsid w:val="00D3071F"/>
    <w:rsid w:val="00D37BD9"/>
    <w:rsid w:val="00D41E40"/>
    <w:rsid w:val="00D5187F"/>
    <w:rsid w:val="00D565CD"/>
    <w:rsid w:val="00D9034E"/>
    <w:rsid w:val="00D97FD1"/>
    <w:rsid w:val="00DA2EED"/>
    <w:rsid w:val="00DB38E0"/>
    <w:rsid w:val="00DB4974"/>
    <w:rsid w:val="00DC2AFA"/>
    <w:rsid w:val="00DE00EA"/>
    <w:rsid w:val="00E02CF5"/>
    <w:rsid w:val="00E23550"/>
    <w:rsid w:val="00E31B46"/>
    <w:rsid w:val="00E339C1"/>
    <w:rsid w:val="00E5022A"/>
    <w:rsid w:val="00E51A6E"/>
    <w:rsid w:val="00E66CFF"/>
    <w:rsid w:val="00E73334"/>
    <w:rsid w:val="00EE6372"/>
    <w:rsid w:val="00EF1447"/>
    <w:rsid w:val="00F01D5E"/>
    <w:rsid w:val="00F026DA"/>
    <w:rsid w:val="00F04E08"/>
    <w:rsid w:val="00F0503D"/>
    <w:rsid w:val="00F10E2D"/>
    <w:rsid w:val="00F125B3"/>
    <w:rsid w:val="00F175DE"/>
    <w:rsid w:val="00F34FEE"/>
    <w:rsid w:val="00F431CD"/>
    <w:rsid w:val="00F50060"/>
    <w:rsid w:val="00F53014"/>
    <w:rsid w:val="00F66E0E"/>
    <w:rsid w:val="00F82C9C"/>
    <w:rsid w:val="00F94F5C"/>
    <w:rsid w:val="00FC2D89"/>
    <w:rsid w:val="00FC4FE8"/>
    <w:rsid w:val="00FC6F31"/>
    <w:rsid w:val="00FC70F6"/>
    <w:rsid w:val="00FE72C6"/>
    <w:rsid w:val="00FF08DC"/>
    <w:rsid w:val="00FF3D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D0CBC3"/>
  <w15:chartTrackingRefBased/>
  <w15:docId w15:val="{8295E725-76DE-456A-B1DB-11544AA9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E2D"/>
    <w:pPr>
      <w:spacing w:line="280" w:lineRule="atLeast"/>
      <w:jc w:val="both"/>
    </w:pPr>
    <w:rPr>
      <w:rFonts w:ascii="Palatino Linotype" w:hAnsi="Palatino Linotype"/>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DPI11articletype">
    <w:name w:val="MDPI_1.1_article_type"/>
    <w:next w:val="Normal"/>
    <w:qFormat/>
    <w:rsid w:val="00F10E2D"/>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10E2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10E2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10E2D"/>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F10E2D"/>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10E2D"/>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F10E2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F10E2D"/>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alTablo"/>
    <w:uiPriority w:val="99"/>
    <w:rsid w:val="000343DC"/>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oKlavuzu">
    <w:name w:val="Table Grid"/>
    <w:basedOn w:val="NormalTablo"/>
    <w:uiPriority w:val="59"/>
    <w:rsid w:val="00F10E2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F10E2D"/>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link w:val="stBilgi"/>
    <w:uiPriority w:val="99"/>
    <w:rsid w:val="00F10E2D"/>
    <w:rPr>
      <w:rFonts w:ascii="Palatino Linotype" w:hAnsi="Palatino Linotype"/>
      <w:noProof/>
      <w:color w:val="000000"/>
      <w:szCs w:val="18"/>
    </w:rPr>
  </w:style>
  <w:style w:type="paragraph" w:customStyle="1" w:styleId="MDPI32textnoindent">
    <w:name w:val="MDPI_3.2_text_no_indent"/>
    <w:basedOn w:val="MDPI31text"/>
    <w:qFormat/>
    <w:rsid w:val="00F10E2D"/>
    <w:pPr>
      <w:ind w:firstLine="0"/>
    </w:pPr>
  </w:style>
  <w:style w:type="paragraph" w:customStyle="1" w:styleId="MDPI31text">
    <w:name w:val="MDPI_3.1_text"/>
    <w:qFormat/>
    <w:rsid w:val="0021592A"/>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10E2D"/>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F10E2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10E2D"/>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10E2D"/>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2B3114"/>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2B3114"/>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10E2D"/>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10E2D"/>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10E2D"/>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04E0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10E2D"/>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10E2D"/>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10E2D"/>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F10E2D"/>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F10E2D"/>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F10E2D"/>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10E2D"/>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F10E2D"/>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BA2A71"/>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onMetni">
    <w:name w:val="Balloon Text"/>
    <w:basedOn w:val="Normal"/>
    <w:link w:val="BalonMetniChar"/>
    <w:uiPriority w:val="99"/>
    <w:rsid w:val="00F10E2D"/>
    <w:rPr>
      <w:rFonts w:cs="Tahoma"/>
      <w:szCs w:val="18"/>
    </w:rPr>
  </w:style>
  <w:style w:type="character" w:customStyle="1" w:styleId="BalonMetniChar">
    <w:name w:val="Balon Metni Char"/>
    <w:link w:val="BalonMetni"/>
    <w:uiPriority w:val="99"/>
    <w:rsid w:val="00F10E2D"/>
    <w:rPr>
      <w:rFonts w:ascii="Palatino Linotype" w:hAnsi="Palatino Linotype" w:cs="Tahoma"/>
      <w:noProof/>
      <w:color w:val="000000"/>
      <w:szCs w:val="18"/>
    </w:rPr>
  </w:style>
  <w:style w:type="character" w:styleId="SatrNumaras">
    <w:name w:val="line number"/>
    <w:uiPriority w:val="99"/>
    <w:rsid w:val="002247F2"/>
    <w:rPr>
      <w:rFonts w:ascii="Palatino Linotype" w:hAnsi="Palatino Linotype"/>
      <w:sz w:val="16"/>
    </w:rPr>
  </w:style>
  <w:style w:type="table" w:customStyle="1" w:styleId="MDPI41threelinetable">
    <w:name w:val="MDPI_4.1_three_line_table"/>
    <w:basedOn w:val="NormalTablo"/>
    <w:uiPriority w:val="99"/>
    <w:rsid w:val="00F10E2D"/>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Kpr">
    <w:name w:val="Hyperlink"/>
    <w:uiPriority w:val="99"/>
    <w:rsid w:val="00F10E2D"/>
    <w:rPr>
      <w:color w:val="0000FF"/>
      <w:u w:val="single"/>
    </w:rPr>
  </w:style>
  <w:style w:type="character" w:customStyle="1" w:styleId="UnresolvedMention">
    <w:name w:val="Unresolved Mention"/>
    <w:uiPriority w:val="99"/>
    <w:semiHidden/>
    <w:unhideWhenUsed/>
    <w:rsid w:val="00097A6D"/>
    <w:rPr>
      <w:color w:val="605E5C"/>
      <w:shd w:val="clear" w:color="auto" w:fill="E1DFDD"/>
    </w:rPr>
  </w:style>
  <w:style w:type="paragraph" w:styleId="AltBilgi">
    <w:name w:val="footer"/>
    <w:basedOn w:val="Normal"/>
    <w:link w:val="AltBilgiChar"/>
    <w:uiPriority w:val="99"/>
    <w:rsid w:val="00F10E2D"/>
    <w:pPr>
      <w:tabs>
        <w:tab w:val="center" w:pos="4153"/>
        <w:tab w:val="right" w:pos="8306"/>
      </w:tabs>
      <w:snapToGrid w:val="0"/>
      <w:spacing w:line="240" w:lineRule="atLeast"/>
    </w:pPr>
    <w:rPr>
      <w:szCs w:val="18"/>
    </w:rPr>
  </w:style>
  <w:style w:type="character" w:customStyle="1" w:styleId="AltBilgiChar">
    <w:name w:val="Alt Bilgi Char"/>
    <w:link w:val="AltBilgi"/>
    <w:uiPriority w:val="99"/>
    <w:rsid w:val="00F10E2D"/>
    <w:rPr>
      <w:rFonts w:ascii="Palatino Linotype" w:hAnsi="Palatino Linotype"/>
      <w:noProof/>
      <w:color w:val="000000"/>
      <w:szCs w:val="18"/>
    </w:rPr>
  </w:style>
  <w:style w:type="table" w:styleId="DzTablo4">
    <w:name w:val="Plain Table 4"/>
    <w:basedOn w:val="NormalTablo"/>
    <w:uiPriority w:val="44"/>
    <w:rsid w:val="008B20C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F10E2D"/>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F10E2D"/>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10E2D"/>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413AE8"/>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F10E2D"/>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10E2D"/>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FC70F6"/>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NormalTablo"/>
    <w:uiPriority w:val="99"/>
    <w:rsid w:val="00F10E2D"/>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F10E2D"/>
  </w:style>
  <w:style w:type="paragraph" w:styleId="Kaynaka">
    <w:name w:val="Bibliography"/>
    <w:basedOn w:val="Normal"/>
    <w:next w:val="Normal"/>
    <w:uiPriority w:val="37"/>
    <w:semiHidden/>
    <w:unhideWhenUsed/>
    <w:rsid w:val="00F10E2D"/>
  </w:style>
  <w:style w:type="paragraph" w:styleId="GvdeMetni">
    <w:name w:val="Body Text"/>
    <w:link w:val="GvdeMetniChar"/>
    <w:rsid w:val="00F10E2D"/>
    <w:pPr>
      <w:spacing w:after="120" w:line="340" w:lineRule="atLeast"/>
      <w:jc w:val="both"/>
    </w:pPr>
    <w:rPr>
      <w:rFonts w:ascii="Palatino Linotype" w:hAnsi="Palatino Linotype"/>
      <w:color w:val="000000"/>
      <w:sz w:val="24"/>
      <w:lang w:eastAsia="de-DE"/>
    </w:rPr>
  </w:style>
  <w:style w:type="character" w:customStyle="1" w:styleId="GvdeMetniChar">
    <w:name w:val="Gövde Metni Char"/>
    <w:link w:val="GvdeMetni"/>
    <w:rsid w:val="00F10E2D"/>
    <w:rPr>
      <w:rFonts w:ascii="Palatino Linotype" w:hAnsi="Palatino Linotype"/>
      <w:color w:val="000000"/>
      <w:sz w:val="24"/>
      <w:lang w:eastAsia="de-DE"/>
    </w:rPr>
  </w:style>
  <w:style w:type="character" w:styleId="AklamaBavurusu">
    <w:name w:val="annotation reference"/>
    <w:rsid w:val="00F10E2D"/>
    <w:rPr>
      <w:sz w:val="21"/>
      <w:szCs w:val="21"/>
    </w:rPr>
  </w:style>
  <w:style w:type="paragraph" w:styleId="AklamaMetni">
    <w:name w:val="annotation text"/>
    <w:basedOn w:val="Normal"/>
    <w:link w:val="AklamaMetniChar"/>
    <w:rsid w:val="00F10E2D"/>
  </w:style>
  <w:style w:type="character" w:customStyle="1" w:styleId="AklamaMetniChar">
    <w:name w:val="Açıklama Metni Char"/>
    <w:link w:val="AklamaMetni"/>
    <w:rsid w:val="00F10E2D"/>
    <w:rPr>
      <w:rFonts w:ascii="Palatino Linotype" w:hAnsi="Palatino Linotype"/>
      <w:noProof/>
      <w:color w:val="000000"/>
    </w:rPr>
  </w:style>
  <w:style w:type="paragraph" w:styleId="AklamaKonusu">
    <w:name w:val="annotation subject"/>
    <w:basedOn w:val="AklamaMetni"/>
    <w:next w:val="AklamaMetni"/>
    <w:link w:val="AklamaKonusuChar"/>
    <w:rsid w:val="00F10E2D"/>
    <w:rPr>
      <w:b/>
      <w:bCs/>
    </w:rPr>
  </w:style>
  <w:style w:type="character" w:customStyle="1" w:styleId="AklamaKonusuChar">
    <w:name w:val="Açıklama Konusu Char"/>
    <w:link w:val="AklamaKonusu"/>
    <w:rsid w:val="00F10E2D"/>
    <w:rPr>
      <w:rFonts w:ascii="Palatino Linotype" w:hAnsi="Palatino Linotype"/>
      <w:b/>
      <w:bCs/>
      <w:noProof/>
      <w:color w:val="000000"/>
    </w:rPr>
  </w:style>
  <w:style w:type="character" w:styleId="SonnotBavurusu">
    <w:name w:val="endnote reference"/>
    <w:rsid w:val="00F10E2D"/>
    <w:rPr>
      <w:vertAlign w:val="superscript"/>
    </w:rPr>
  </w:style>
  <w:style w:type="paragraph" w:styleId="SonnotMetni">
    <w:name w:val="endnote text"/>
    <w:basedOn w:val="Normal"/>
    <w:link w:val="SonnotMetniChar"/>
    <w:semiHidden/>
    <w:unhideWhenUsed/>
    <w:rsid w:val="00F10E2D"/>
    <w:pPr>
      <w:spacing w:line="240" w:lineRule="auto"/>
    </w:pPr>
  </w:style>
  <w:style w:type="character" w:customStyle="1" w:styleId="SonnotMetniChar">
    <w:name w:val="Sonnot Metni Char"/>
    <w:link w:val="SonnotMetni"/>
    <w:semiHidden/>
    <w:rsid w:val="00F10E2D"/>
    <w:rPr>
      <w:rFonts w:ascii="Palatino Linotype" w:hAnsi="Palatino Linotype"/>
      <w:noProof/>
      <w:color w:val="000000"/>
    </w:rPr>
  </w:style>
  <w:style w:type="character" w:styleId="zlenenKpr">
    <w:name w:val="FollowedHyperlink"/>
    <w:rsid w:val="00F10E2D"/>
    <w:rPr>
      <w:color w:val="954F72"/>
      <w:u w:val="single"/>
    </w:rPr>
  </w:style>
  <w:style w:type="paragraph" w:styleId="DipnotMetni">
    <w:name w:val="footnote text"/>
    <w:basedOn w:val="Normal"/>
    <w:link w:val="DipnotMetniChar"/>
    <w:semiHidden/>
    <w:unhideWhenUsed/>
    <w:rsid w:val="00F10E2D"/>
    <w:pPr>
      <w:spacing w:line="240" w:lineRule="auto"/>
    </w:pPr>
  </w:style>
  <w:style w:type="character" w:customStyle="1" w:styleId="DipnotMetniChar">
    <w:name w:val="Dipnot Metni Char"/>
    <w:link w:val="DipnotMetni"/>
    <w:semiHidden/>
    <w:rsid w:val="00F10E2D"/>
    <w:rPr>
      <w:rFonts w:ascii="Palatino Linotype" w:hAnsi="Palatino Linotype"/>
      <w:noProof/>
      <w:color w:val="000000"/>
    </w:rPr>
  </w:style>
  <w:style w:type="paragraph" w:styleId="NormalWeb">
    <w:name w:val="Normal (Web)"/>
    <w:basedOn w:val="Normal"/>
    <w:uiPriority w:val="99"/>
    <w:rsid w:val="00F10E2D"/>
    <w:rPr>
      <w:szCs w:val="24"/>
    </w:rPr>
  </w:style>
  <w:style w:type="paragraph" w:customStyle="1" w:styleId="MsoFootnoteText0">
    <w:name w:val="MsoFootnoteText"/>
    <w:basedOn w:val="NormalWeb"/>
    <w:qFormat/>
    <w:rsid w:val="00F10E2D"/>
    <w:rPr>
      <w:rFonts w:ascii="Times New Roman" w:hAnsi="Times New Roman"/>
    </w:rPr>
  </w:style>
  <w:style w:type="character" w:styleId="SayfaNumaras">
    <w:name w:val="page number"/>
    <w:rsid w:val="00F10E2D"/>
  </w:style>
  <w:style w:type="character" w:styleId="YerTutucuMetni">
    <w:name w:val="Placeholder Text"/>
    <w:uiPriority w:val="99"/>
    <w:semiHidden/>
    <w:rsid w:val="00F10E2D"/>
    <w:rPr>
      <w:color w:val="808080"/>
    </w:rPr>
  </w:style>
  <w:style w:type="paragraph" w:customStyle="1" w:styleId="MDPI71footnotes">
    <w:name w:val="MDPI_7.1_footnotes"/>
    <w:qFormat/>
    <w:rsid w:val="00936C16"/>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Gl">
    <w:name w:val="Strong"/>
    <w:basedOn w:val="VarsaylanParagrafYazTipi"/>
    <w:uiPriority w:val="22"/>
    <w:qFormat/>
    <w:rsid w:val="001A7564"/>
    <w:rPr>
      <w:b/>
      <w:bCs/>
    </w:rPr>
  </w:style>
  <w:style w:type="table" w:customStyle="1" w:styleId="TabloKlavuzu1">
    <w:name w:val="Tablo Kılavuzu1"/>
    <w:basedOn w:val="NormalTablo"/>
    <w:next w:val="TabloKlavuzu"/>
    <w:uiPriority w:val="39"/>
    <w:rsid w:val="00167CA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aras">
    <w:name w:val="List Number"/>
    <w:basedOn w:val="Normal"/>
    <w:uiPriority w:val="99"/>
    <w:unhideWhenUsed/>
    <w:rsid w:val="000132B0"/>
    <w:pPr>
      <w:numPr>
        <w:numId w:val="24"/>
      </w:numPr>
      <w:spacing w:after="200" w:line="276" w:lineRule="auto"/>
      <w:contextualSpacing/>
      <w:jc w:val="left"/>
    </w:pPr>
    <w:rPr>
      <w:rFonts w:ascii="Times New Roman" w:eastAsiaTheme="minorEastAsia" w:hAnsi="Times New Roman" w:cstheme="minorBidi"/>
      <w:color w:val="auto"/>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sra\Downloads\biomolecul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biomolecules-template</Template>
  <TotalTime>0</TotalTime>
  <Pages>12</Pages>
  <Words>5020</Words>
  <Characters>28619</Characters>
  <Application>Microsoft Office Word</Application>
  <DocSecurity>0</DocSecurity>
  <Lines>238</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BÜŞRA YÜKSEL</dc:creator>
  <cp:keywords/>
  <dc:description/>
  <cp:lastModifiedBy>VENAR</cp:lastModifiedBy>
  <cp:revision>2</cp:revision>
  <dcterms:created xsi:type="dcterms:W3CDTF">2026-04-07T12:38:00Z</dcterms:created>
  <dcterms:modified xsi:type="dcterms:W3CDTF">2026-04-07T12:38:00Z</dcterms:modified>
</cp:coreProperties>
</file>